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46"/>
        </w:rPr>
        <w:t>Summary-Judgment Opposition Issue Memorandum</w:t>
      </w:r>
    </w:p>
    <w:p>
      <w:pPr>
        <w:pStyle w:val="Subtitle"/>
      </w:pPr>
      <w:r>
        <w:rPr>
          <w:b w:val="0"/>
          <w:i w:val="0"/>
          <w:color w:val="667085"/>
          <w:sz w:val="28"/>
        </w:rPr>
        <w:t>Prioritized weaknesses, genuine disputes, record corrections, and response strategy</w:t>
      </w:r>
    </w:p>
    <w:tbl>
      <w:tblPr>
        <w:tblW w:type="dxa" w:w="936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Ind w:w="0" w:type="dxa"/>
      </w:tblPr>
      <w:tblGrid>
        <w:gridCol w:w="950"/>
        <w:gridCol w:w="8410"/>
      </w:tblGrid>
      <w:tr>
        <w:trPr>
          <w:trHeight w:hRule="atLeast"/>
          <w:cantSplit/>
        </w:trPr>
        <w:tc>
          <w:tcPr>
            <w:tcW w:type="dxa" w:w="950"/>
            <w:tcMar>
              <w:top w:w="35" w:type="dxa"/>
              <w:start w:w="0" w:type="dxa"/>
              <w:bottom w:w="35" w:type="dxa"/>
              <w:end w:w="100" w:type="dxa"/>
            </w:tcMar>
            <w:vAlign w:val="center"/>
          </w:tcPr>
          <w:p>
            <w:r>
              <w:rPr>
                <w:b/>
                <w:i w:val="0"/>
                <w:color w:val="667085"/>
                <w:sz w:val="17"/>
              </w:rPr>
              <w:t>TO</w:t>
            </w:r>
          </w:p>
        </w:tc>
        <w:tc>
          <w:tcPr>
            <w:tcW w:type="dxa" w:w="8410"/>
            <w:tcMar>
              <w:top w:w="35" w:type="dxa"/>
              <w:start w:w="0" w:type="dxa"/>
              <w:bottom w:w="35" w:type="dxa"/>
              <w:end w:w="100" w:type="dxa"/>
            </w:tcMar>
            <w:vAlign w:val="center"/>
          </w:tcPr>
          <w:p>
            <w:r>
              <w:rPr>
                <w:b w:val="0"/>
                <w:i w:val="0"/>
                <w:sz w:val="20"/>
              </w:rPr>
              <w:t>Greenfield Litigation Team</w:t>
            </w:r>
          </w:p>
        </w:tc>
      </w:tr>
      <w:tr>
        <w:trPr>
          <w:trHeight w:hRule="atLeast"/>
          <w:cantSplit/>
        </w:trPr>
        <w:tc>
          <w:tcPr>
            <w:tcW w:type="dxa" w:w="950"/>
            <w:tcMar>
              <w:top w:w="35" w:type="dxa"/>
              <w:start w:w="0" w:type="dxa"/>
              <w:bottom w:w="35" w:type="dxa"/>
              <w:end w:w="100" w:type="dxa"/>
            </w:tcMar>
            <w:vAlign w:val="center"/>
          </w:tcPr>
          <w:p>
            <w:r>
              <w:rPr>
                <w:b/>
                <w:i w:val="0"/>
                <w:color w:val="667085"/>
                <w:sz w:val="17"/>
              </w:rPr>
              <w:t>FROM</w:t>
            </w:r>
          </w:p>
        </w:tc>
        <w:tc>
          <w:tcPr>
            <w:tcW w:type="dxa" w:w="8410"/>
            <w:tcMar>
              <w:top w:w="35" w:type="dxa"/>
              <w:start w:w="0" w:type="dxa"/>
              <w:bottom w:w="35" w:type="dxa"/>
              <w:end w:w="100" w:type="dxa"/>
            </w:tcMar>
            <w:vAlign w:val="center"/>
          </w:tcPr>
          <w:p>
            <w:r>
              <w:rPr>
                <w:b w:val="0"/>
                <w:i w:val="0"/>
                <w:sz w:val="20"/>
              </w:rPr>
              <w:t>Litigation Analysis Workstream</w:t>
            </w:r>
          </w:p>
        </w:tc>
      </w:tr>
      <w:tr>
        <w:trPr>
          <w:trHeight w:hRule="atLeast"/>
          <w:cantSplit/>
        </w:trPr>
        <w:tc>
          <w:tcPr>
            <w:tcW w:type="dxa" w:w="950"/>
            <w:tcMar>
              <w:top w:w="35" w:type="dxa"/>
              <w:start w:w="0" w:type="dxa"/>
              <w:bottom w:w="35" w:type="dxa"/>
              <w:end w:w="100" w:type="dxa"/>
            </w:tcMar>
            <w:vAlign w:val="center"/>
          </w:tcPr>
          <w:p>
            <w:r>
              <w:rPr>
                <w:b/>
                <w:i w:val="0"/>
                <w:color w:val="667085"/>
                <w:sz w:val="17"/>
              </w:rPr>
              <w:t>DATE</w:t>
            </w:r>
          </w:p>
        </w:tc>
        <w:tc>
          <w:tcPr>
            <w:tcW w:type="dxa" w:w="8410"/>
            <w:tcMar>
              <w:top w:w="35" w:type="dxa"/>
              <w:start w:w="0" w:type="dxa"/>
              <w:bottom w:w="35" w:type="dxa"/>
              <w:end w:w="100" w:type="dxa"/>
            </w:tcMar>
            <w:vAlign w:val="center"/>
          </w:tcPr>
          <w:p>
            <w:r>
              <w:rPr>
                <w:b w:val="0"/>
                <w:i w:val="0"/>
                <w:sz w:val="20"/>
              </w:rPr>
              <w:t>August 10, 2026</w:t>
            </w:r>
          </w:p>
        </w:tc>
      </w:tr>
      <w:tr>
        <w:trPr>
          <w:trHeight w:hRule="atLeast"/>
          <w:cantSplit/>
        </w:trPr>
        <w:tc>
          <w:tcPr>
            <w:tcW w:type="dxa" w:w="950"/>
            <w:tcMar>
              <w:top w:w="35" w:type="dxa"/>
              <w:start w:w="0" w:type="dxa"/>
              <w:bottom w:w="35" w:type="dxa"/>
              <w:end w:w="100" w:type="dxa"/>
            </w:tcMar>
            <w:vAlign w:val="center"/>
          </w:tcPr>
          <w:p>
            <w:r>
              <w:rPr>
                <w:b/>
                <w:i w:val="0"/>
                <w:color w:val="667085"/>
                <w:sz w:val="17"/>
              </w:rPr>
              <w:t>RE</w:t>
            </w:r>
          </w:p>
        </w:tc>
        <w:tc>
          <w:tcPr>
            <w:tcW w:type="dxa" w:w="8410"/>
            <w:tcMar>
              <w:top w:w="35" w:type="dxa"/>
              <w:start w:w="0" w:type="dxa"/>
              <w:bottom w:w="35" w:type="dxa"/>
              <w:end w:w="100" w:type="dxa"/>
            </w:tcMar>
            <w:vAlign w:val="center"/>
          </w:tcPr>
          <w:p>
            <w:r>
              <w:rPr>
                <w:b w:val="0"/>
                <w:i w:val="0"/>
                <w:sz w:val="20"/>
              </w:rPr>
              <w:t>Prioritized weaknesses in Pinnacle’s motion for summary judgment</w:t>
            </w:r>
          </w:p>
        </w:tc>
      </w:tr>
      <w:tr>
        <w:trPr>
          <w:trHeight w:hRule="atLeast"/>
          <w:cantSplit/>
        </w:trPr>
        <w:tc>
          <w:tcPr>
            <w:tcW w:type="dxa" w:w="950"/>
            <w:tcMar>
              <w:top w:w="35" w:type="dxa"/>
              <w:start w:w="0" w:type="dxa"/>
              <w:bottom w:w="35" w:type="dxa"/>
              <w:end w:w="100" w:type="dxa"/>
            </w:tcMar>
            <w:vAlign w:val="center"/>
          </w:tcPr>
          <w:p>
            <w:r>
              <w:rPr>
                <w:b/>
                <w:i w:val="0"/>
                <w:color w:val="667085"/>
                <w:sz w:val="17"/>
              </w:rPr>
              <w:t>CASE</w:t>
            </w:r>
          </w:p>
        </w:tc>
        <w:tc>
          <w:tcPr>
            <w:tcW w:type="dxa" w:w="8410"/>
            <w:tcMar>
              <w:top w:w="35" w:type="dxa"/>
              <w:start w:w="0" w:type="dxa"/>
              <w:bottom w:w="35" w:type="dxa"/>
              <w:end w:w="100" w:type="dxa"/>
            </w:tcMar>
            <w:vAlign w:val="center"/>
          </w:tcPr>
          <w:p>
            <w:r>
              <w:rPr>
                <w:b/>
                <w:i w:val="0"/>
                <w:sz w:val="20"/>
              </w:rPr>
              <w:t>Greenfield Modular Homes, Inc. v. Pinnacle Supply Chain Solutions, LLC</w:t>
            </w:r>
          </w:p>
        </w:tc>
      </w:tr>
      <w:tr>
        <w:trPr>
          <w:trHeight w:hRule="atLeast"/>
          <w:cantSplit/>
        </w:trPr>
        <w:tc>
          <w:tcPr>
            <w:tcW w:type="dxa" w:w="950"/>
            <w:tcMar>
              <w:top w:w="35" w:type="dxa"/>
              <w:start w:w="0" w:type="dxa"/>
              <w:bottom w:w="35" w:type="dxa"/>
              <w:end w:w="100" w:type="dxa"/>
            </w:tcMar>
            <w:vAlign w:val="center"/>
          </w:tcPr>
          <w:p>
            <w:r>
              <w:rPr>
                <w:b/>
                <w:i w:val="0"/>
                <w:color w:val="667085"/>
                <w:sz w:val="17"/>
              </w:rPr>
              <w:t>COURT</w:t>
            </w:r>
          </w:p>
        </w:tc>
        <w:tc>
          <w:tcPr>
            <w:tcW w:type="dxa" w:w="8410"/>
            <w:tcMar>
              <w:top w:w="35" w:type="dxa"/>
              <w:start w:w="0" w:type="dxa"/>
              <w:bottom w:w="35" w:type="dxa"/>
              <w:end w:w="100" w:type="dxa"/>
            </w:tcMar>
            <w:vAlign w:val="center"/>
          </w:tcPr>
          <w:p>
            <w:r>
              <w:rPr>
                <w:b/>
                <w:i w:val="0"/>
                <w:sz w:val="20"/>
              </w:rPr>
              <w:t>U.S. District Court, Middle District of Georgia, Macon Division  |  No. 5:23-cv-00412-MTT</w:t>
            </w:r>
          </w:p>
        </w:tc>
      </w:tr>
    </w:tbl>
    <w:p>
      <w:pPr>
        <w:spacing w:after="40"/>
      </w:pPr>
    </w:p>
    <w:tbl>
      <w:tblPr>
        <w:tblW w:type="dxa" w:w="9360"/>
        <w:jc w:val="left"/>
        <w:tblLayout w:type="fixed"/>
        <w:tblLook w:firstColumn="1" w:firstRow="1" w:lastColumn="0" w:lastRow="0" w:noHBand="0" w:noVBand="1" w:val="04A0"/>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Ind w:w="120" w:type="dxa"/>
      </w:tblPr>
      <w:tblGrid>
        <w:gridCol w:w="9360"/>
      </w:tblGrid>
      <w:tr>
        <w:trPr>
          <w:cantSplit/>
        </w:trPr>
        <w:tc>
          <w:tcPr>
            <w:tcW w:type="dxa" w:w="9360"/>
            <w:shd w:fill="EAF2F8"/>
            <w:tcMar>
              <w:top w:w="120" w:type="dxa"/>
              <w:start w:w="160" w:type="dxa"/>
              <w:bottom w:w="120" w:type="dxa"/>
              <w:end w:w="160" w:type="dxa"/>
            </w:tcMar>
          </w:tcPr>
          <w:p>
            <w:r>
              <w:rPr>
                <w:b/>
                <w:i w:val="0"/>
                <w:color w:val="1F4D78"/>
                <w:sz w:val="20"/>
              </w:rPr>
              <w:t xml:space="preserve">Bottom line.  </w:t>
            </w:r>
            <w:r>
              <w:rPr>
                <w:b w:val="0"/>
                <w:i w:val="0"/>
                <w:sz w:val="20"/>
              </w:rPr>
              <w:t>Pinnacle has not shown entitlement to judgment as a matter of law. Three independent grounds warrant denial: (1) Holt’s testimony that Okafor ordered reports held creates a credibility dispute the Court cannot resolve; (2) the repeated-failure, budget, concealment, and non-notice evidence permits a gross-negligence finding, activating §§7.1–7.3 exceptions; and (3) Greenfield’s claim arises from §4.2, which §7.3 expressly carves out of the consequential-damages waiver. Force majeure, mitigation, comparative fault, cap arithmetic, and the expert premise supply additional grounds.</w:t>
            </w:r>
          </w:p>
        </w:tc>
      </w:tr>
    </w:tbl>
    <w:p>
      <w:pPr>
        <w:spacing w:after="20"/>
      </w:pPr>
    </w:p>
    <w:p>
      <w:pPr>
        <w:pStyle w:val="Heading1"/>
      </w:pPr>
      <w:r>
        <w:t>Executive assessment</w:t>
      </w:r>
    </w:p>
    <w:p>
      <w:pPr>
        <w:spacing w:after="120" w:line="264" w:lineRule="auto"/>
      </w:pPr>
      <w:r>
        <w:t>The opposition should begin with the contract text and the governing Rule 56 posture, not with a generalized factual narrative. Section 4.2 required Pinnacle to maintain 55°F–80°F, keep relative humidity at or below 60%, and provide monthly environmental reports. The supplied record includes February 15–17, 2023 humidity readings of 72%–85%, three missing monthly reports (November 2022, December 2022, and January 2023), and no notice of the January 18 complete HVAC failure. LSA §4.2; Venkatesh Expert Summary §3.3; Holt Dep. 65–68, 82–85; Santos Dep. 33–38.</w:t>
      </w:r>
    </w:p>
    <w:p>
      <w:pPr>
        <w:spacing w:after="120" w:line="264" w:lineRule="auto"/>
      </w:pPr>
      <w:r>
        <w:t>Pinnacle’s contractual defenses depend on truncated quotations. The motion omits §7.1’s gross-negligence/willful-misconduct exception, §7.3’s carveout for claims arising from breach of §4.2, §7.4’s concealed-breach limitation on mitigation, §4.5’s confirmation that inspection rights do not replace reporting duties, and §9.1’s indemnity obligation. It also substitutes $1.86 million for the greater-of calculation in §7.1, which would be $2 million even if the cap applied.</w:t>
      </w:r>
    </w:p>
    <w:p>
      <w:pPr>
        <w:spacing w:after="120" w:line="264" w:lineRule="auto"/>
      </w:pPr>
      <w:r>
        <w:t>The record must be presented as a sequence of operational choices rather than one weather event: June 14 refrigerant leak; August 9 compressor/refrigerant failure and budget-driven patch; October 3 humidity at 78% followed by temporary repair; November–January report suppression; and January 18 complete compressor failure without notice. Holt Dep. 28–30, 38–45, 56–58, 65–68, 82–85. That chronology supports a jury inference of gross negligence and defeats an assertion that extraordinary weather alone made performance impossible.</w:t>
      </w:r>
    </w:p>
    <w:p>
      <w:pPr>
        <w:pStyle w:val="Heading1"/>
      </w:pPr>
      <w:r>
        <w:t>Priority issue matrix</w:t>
      </w:r>
    </w:p>
    <w:tbl>
      <w:tblPr>
        <w:tblW w:type="dxa" w:w="9360"/>
        <w:jc w:val="left"/>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480"/>
        <w:gridCol w:w="1180"/>
        <w:gridCol w:w="2800"/>
        <w:gridCol w:w="1900"/>
        <w:gridCol w:w="3000"/>
      </w:tblGrid>
      <w:tr>
        <w:trPr>
          <w:tblHeader w:val="true"/>
        </w:trPr>
        <w:tc>
          <w:tcPr>
            <w:tcW w:type="dxa" w:w="480"/>
            <w:shd w:fill="F2F4F7"/>
            <w:tcMar>
              <w:top w:w="80" w:type="dxa"/>
              <w:start w:w="120" w:type="dxa"/>
              <w:bottom w:w="80" w:type="dxa"/>
              <w:end w:w="120" w:type="dxa"/>
            </w:tcMar>
          </w:tcPr>
          <w:p>
            <w:r>
              <w:rPr>
                <w:b/>
                <w:i w:val="0"/>
                <w:color w:val="1F4D78"/>
                <w:sz w:val="16"/>
              </w:rPr>
              <w:t>Pri.</w:t>
            </w:r>
          </w:p>
        </w:tc>
        <w:tc>
          <w:tcPr>
            <w:tcW w:type="dxa" w:w="1180"/>
            <w:shd w:fill="F2F4F7"/>
            <w:tcMar>
              <w:top w:w="80" w:type="dxa"/>
              <w:start w:w="120" w:type="dxa"/>
              <w:bottom w:w="80" w:type="dxa"/>
              <w:end w:w="120" w:type="dxa"/>
            </w:tcMar>
          </w:tcPr>
          <w:p>
            <w:r>
              <w:rPr>
                <w:b/>
                <w:i w:val="0"/>
                <w:color w:val="1F4D78"/>
                <w:sz w:val="16"/>
              </w:rPr>
              <w:t>Issue</w:t>
            </w:r>
          </w:p>
        </w:tc>
        <w:tc>
          <w:tcPr>
            <w:tcW w:type="dxa" w:w="2800"/>
            <w:shd w:fill="F2F4F7"/>
            <w:tcMar>
              <w:top w:w="80" w:type="dxa"/>
              <w:start w:w="120" w:type="dxa"/>
              <w:bottom w:w="80" w:type="dxa"/>
              <w:end w:w="120" w:type="dxa"/>
            </w:tcMar>
          </w:tcPr>
          <w:p>
            <w:r>
              <w:rPr>
                <w:b/>
                <w:i w:val="0"/>
                <w:color w:val="1F4D78"/>
                <w:sz w:val="16"/>
              </w:rPr>
              <w:t>Record vulnerability</w:t>
            </w:r>
          </w:p>
        </w:tc>
        <w:tc>
          <w:tcPr>
            <w:tcW w:type="dxa" w:w="1900"/>
            <w:shd w:fill="F2F4F7"/>
            <w:tcMar>
              <w:top w:w="80" w:type="dxa"/>
              <w:start w:w="120" w:type="dxa"/>
              <w:bottom w:w="80" w:type="dxa"/>
              <w:end w:w="120" w:type="dxa"/>
            </w:tcMar>
          </w:tcPr>
          <w:p>
            <w:r>
              <w:rPr>
                <w:b/>
                <w:i w:val="0"/>
                <w:color w:val="1F4D78"/>
                <w:sz w:val="16"/>
              </w:rPr>
              <w:t>Source</w:t>
            </w:r>
          </w:p>
        </w:tc>
        <w:tc>
          <w:tcPr>
            <w:tcW w:type="dxa" w:w="3000"/>
            <w:shd w:fill="F2F4F7"/>
            <w:tcMar>
              <w:top w:w="80" w:type="dxa"/>
              <w:start w:w="120" w:type="dxa"/>
              <w:bottom w:w="80" w:type="dxa"/>
              <w:end w:w="120" w:type="dxa"/>
            </w:tcMar>
          </w:tcPr>
          <w:p>
            <w:r>
              <w:rPr>
                <w:b/>
                <w:i w:val="0"/>
                <w:color w:val="1F4D78"/>
                <w:sz w:val="16"/>
              </w:rPr>
              <w:t>Opposition response</w:t>
            </w:r>
          </w:p>
        </w:tc>
      </w:tr>
      <w:tr>
        <w:trPr>
          <w:cantSplit/>
        </w:trPr>
        <w:tc>
          <w:tcPr>
            <w:tcW w:type="dxa" w:w="480"/>
            <w:tcMar>
              <w:top w:w="80" w:type="dxa"/>
              <w:start w:w="120" w:type="dxa"/>
              <w:bottom w:w="80" w:type="dxa"/>
              <w:end w:w="120" w:type="dxa"/>
            </w:tcMar>
            <w:vAlign w:val="top"/>
            <w:shd w:fill="FCE8E6"/>
          </w:tcPr>
          <w:p>
            <w:r>
              <w:rPr>
                <w:b/>
                <w:i w:val="0"/>
                <w:sz w:val="15"/>
              </w:rPr>
              <w:t>P1</w:t>
            </w:r>
          </w:p>
        </w:tc>
        <w:tc>
          <w:tcPr>
            <w:tcW w:type="dxa" w:w="1180"/>
            <w:tcMar>
              <w:top w:w="80" w:type="dxa"/>
              <w:start w:w="120" w:type="dxa"/>
              <w:bottom w:w="80" w:type="dxa"/>
              <w:end w:w="120" w:type="dxa"/>
            </w:tcMar>
            <w:vAlign w:val="top"/>
          </w:tcPr>
          <w:p>
            <w:r>
              <w:rPr>
                <w:b/>
                <w:i w:val="0"/>
                <w:sz w:val="15"/>
              </w:rPr>
              <w:t>Credibility / concealment</w:t>
            </w:r>
          </w:p>
        </w:tc>
        <w:tc>
          <w:tcPr>
            <w:tcW w:type="dxa" w:w="2800"/>
            <w:tcMar>
              <w:top w:w="80" w:type="dxa"/>
              <w:start w:w="120" w:type="dxa"/>
              <w:bottom w:w="80" w:type="dxa"/>
              <w:end w:w="120" w:type="dxa"/>
            </w:tcMar>
            <w:vAlign w:val="top"/>
          </w:tcPr>
          <w:p>
            <w:r>
              <w:rPr>
                <w:b w:val="0"/>
                <w:i w:val="0"/>
                <w:sz w:val="15"/>
              </w:rPr>
              <w:t>Holt says Okafor directed him to hold reports; Okafor says she does not recall and attributes delay to calibration. Nov.–Jan. reports and Jan. 18 notice are absent.</w:t>
            </w:r>
          </w:p>
        </w:tc>
        <w:tc>
          <w:tcPr>
            <w:tcW w:type="dxa" w:w="1900"/>
            <w:tcMar>
              <w:top w:w="80" w:type="dxa"/>
              <w:start w:w="120" w:type="dxa"/>
              <w:bottom w:w="80" w:type="dxa"/>
              <w:end w:w="120" w:type="dxa"/>
            </w:tcMar>
            <w:vAlign w:val="top"/>
          </w:tcPr>
          <w:p>
            <w:r>
              <w:rPr>
                <w:b w:val="0"/>
                <w:i w:val="0"/>
                <w:sz w:val="15"/>
              </w:rPr>
              <w:t>Holt Dep. 65–68, 82–85; Okafor Decl. ¶¶7–8; SUMF ¶¶25–26</w:t>
            </w:r>
          </w:p>
        </w:tc>
        <w:tc>
          <w:tcPr>
            <w:tcW w:type="dxa" w:w="3000"/>
            <w:tcMar>
              <w:top w:w="80" w:type="dxa"/>
              <w:start w:w="120" w:type="dxa"/>
              <w:bottom w:w="80" w:type="dxa"/>
              <w:end w:w="120" w:type="dxa"/>
            </w:tcMar>
            <w:vAlign w:val="top"/>
          </w:tcPr>
          <w:p>
            <w:r>
              <w:rPr>
                <w:b w:val="0"/>
                <w:i w:val="0"/>
                <w:sz w:val="15"/>
              </w:rPr>
              <w:t>Lead with Rule 56 and Anderson; treat the conflict as an independently sufficient denial ground. Submit the testimony side-by-side and object to any credibility finding.</w:t>
            </w:r>
          </w:p>
        </w:tc>
      </w:tr>
      <w:tr>
        <w:trPr>
          <w:cantSplit/>
        </w:trPr>
        <w:tc>
          <w:tcPr>
            <w:tcW w:type="dxa" w:w="480"/>
            <w:tcMar>
              <w:top w:w="80" w:type="dxa"/>
              <w:start w:w="120" w:type="dxa"/>
              <w:bottom w:w="80" w:type="dxa"/>
              <w:end w:w="120" w:type="dxa"/>
            </w:tcMar>
            <w:vAlign w:val="top"/>
            <w:shd w:fill="FCE8E6"/>
          </w:tcPr>
          <w:p>
            <w:r>
              <w:rPr>
                <w:b/>
                <w:i w:val="0"/>
                <w:sz w:val="15"/>
              </w:rPr>
              <w:t>P1</w:t>
            </w:r>
          </w:p>
        </w:tc>
        <w:tc>
          <w:tcPr>
            <w:tcW w:type="dxa" w:w="1180"/>
            <w:tcMar>
              <w:top w:w="80" w:type="dxa"/>
              <w:start w:w="120" w:type="dxa"/>
              <w:bottom w:w="80" w:type="dxa"/>
              <w:end w:w="120" w:type="dxa"/>
            </w:tcMar>
            <w:vAlign w:val="top"/>
          </w:tcPr>
          <w:p>
            <w:r>
              <w:rPr>
                <w:b/>
                <w:i w:val="0"/>
                <w:sz w:val="15"/>
              </w:rPr>
              <w:t>§4.2 breach and §7.3 carveout</w:t>
            </w:r>
          </w:p>
        </w:tc>
        <w:tc>
          <w:tcPr>
            <w:tcW w:type="dxa" w:w="2800"/>
            <w:tcMar>
              <w:top w:w="80" w:type="dxa"/>
              <w:start w:w="120" w:type="dxa"/>
              <w:bottom w:w="80" w:type="dxa"/>
              <w:end w:w="120" w:type="dxa"/>
            </w:tcMar>
            <w:vAlign w:val="top"/>
          </w:tcPr>
          <w:p>
            <w:r>
              <w:rPr>
                <w:b w:val="0"/>
                <w:i w:val="0"/>
                <w:sz w:val="15"/>
              </w:rPr>
              <w:t>§4.2 required 55–80°F, RH ≤60%, and monthly reports. Dr. Venkatesh measured 72–85% RH. §7.3 expressly preserves claims arising from breach of §4.2.</w:t>
            </w:r>
          </w:p>
        </w:tc>
        <w:tc>
          <w:tcPr>
            <w:tcW w:type="dxa" w:w="1900"/>
            <w:tcMar>
              <w:top w:w="80" w:type="dxa"/>
              <w:start w:w="120" w:type="dxa"/>
              <w:bottom w:w="80" w:type="dxa"/>
              <w:end w:w="120" w:type="dxa"/>
            </w:tcMar>
            <w:vAlign w:val="top"/>
          </w:tcPr>
          <w:p>
            <w:r>
              <w:rPr>
                <w:b w:val="0"/>
                <w:i w:val="0"/>
                <w:sz w:val="15"/>
              </w:rPr>
              <w:t>LSA §§4.2, 7.3; Venkatesh Summary §§3.3, 5.8; SUMF ¶¶34–37</w:t>
            </w:r>
          </w:p>
        </w:tc>
        <w:tc>
          <w:tcPr>
            <w:tcW w:type="dxa" w:w="3000"/>
            <w:tcMar>
              <w:top w:w="80" w:type="dxa"/>
              <w:start w:w="120" w:type="dxa"/>
              <w:bottom w:w="80" w:type="dxa"/>
              <w:end w:w="120" w:type="dxa"/>
            </w:tcMar>
            <w:vAlign w:val="top"/>
          </w:tcPr>
          <w:p>
            <w:r>
              <w:rPr>
                <w:b w:val="0"/>
                <w:i w:val="0"/>
                <w:sz w:val="15"/>
              </w:rPr>
              <w:t>Quote the complete provisions. Argue the express carveout independently defeats the requested judgment on $890,000 lost profits and $1.15 million expedited manufacturing.</w:t>
            </w:r>
          </w:p>
        </w:tc>
      </w:tr>
      <w:tr>
        <w:trPr>
          <w:cantSplit/>
        </w:trPr>
        <w:tc>
          <w:tcPr>
            <w:tcW w:type="dxa" w:w="480"/>
            <w:tcMar>
              <w:top w:w="80" w:type="dxa"/>
              <w:start w:w="120" w:type="dxa"/>
              <w:bottom w:w="80" w:type="dxa"/>
              <w:end w:w="120" w:type="dxa"/>
            </w:tcMar>
            <w:vAlign w:val="top"/>
            <w:shd w:fill="FCE8E6"/>
          </w:tcPr>
          <w:p>
            <w:r>
              <w:rPr>
                <w:b/>
                <w:i w:val="0"/>
                <w:sz w:val="15"/>
              </w:rPr>
              <w:t>P1</w:t>
            </w:r>
          </w:p>
        </w:tc>
        <w:tc>
          <w:tcPr>
            <w:tcW w:type="dxa" w:w="1180"/>
            <w:tcMar>
              <w:top w:w="80" w:type="dxa"/>
              <w:start w:w="120" w:type="dxa"/>
              <w:bottom w:w="80" w:type="dxa"/>
              <w:end w:w="120" w:type="dxa"/>
            </w:tcMar>
            <w:vAlign w:val="top"/>
          </w:tcPr>
          <w:p>
            <w:r>
              <w:rPr>
                <w:b/>
                <w:i w:val="0"/>
                <w:sz w:val="15"/>
              </w:rPr>
              <w:t>Gross negligence / cap exception</w:t>
            </w:r>
          </w:p>
        </w:tc>
        <w:tc>
          <w:tcPr>
            <w:tcW w:type="dxa" w:w="2800"/>
            <w:tcMar>
              <w:top w:w="80" w:type="dxa"/>
              <w:start w:w="120" w:type="dxa"/>
              <w:bottom w:w="80" w:type="dxa"/>
              <w:end w:w="120" w:type="dxa"/>
            </w:tcMar>
            <w:vAlign w:val="top"/>
          </w:tcPr>
          <w:p>
            <w:r>
              <w:rPr>
                <w:b w:val="0"/>
                <w:i w:val="0"/>
                <w:sz w:val="15"/>
              </w:rPr>
              <w:t>Repeated mechanical failures, budget-driven patches, withheld reports, and no Jan. 18 notice permit a gross-negligence inference. §§7.1–7.2 exclude gross negligence/willful misconduct.</w:t>
            </w:r>
          </w:p>
        </w:tc>
        <w:tc>
          <w:tcPr>
            <w:tcW w:type="dxa" w:w="1900"/>
            <w:tcMar>
              <w:top w:w="80" w:type="dxa"/>
              <w:start w:w="120" w:type="dxa"/>
              <w:bottom w:w="80" w:type="dxa"/>
              <w:end w:w="120" w:type="dxa"/>
            </w:tcMar>
            <w:vAlign w:val="top"/>
          </w:tcPr>
          <w:p>
            <w:r>
              <w:rPr>
                <w:b w:val="0"/>
                <w:i w:val="0"/>
                <w:sz w:val="15"/>
              </w:rPr>
              <w:t>LSA §§7.1–7.2; Holt Dep. 28–30, 38–45, 56–58, 65–68, 82–85</w:t>
            </w:r>
          </w:p>
        </w:tc>
        <w:tc>
          <w:tcPr>
            <w:tcW w:type="dxa" w:w="3000"/>
            <w:tcMar>
              <w:top w:w="80" w:type="dxa"/>
              <w:start w:w="120" w:type="dxa"/>
              <w:bottom w:w="80" w:type="dxa"/>
              <w:end w:w="120" w:type="dxa"/>
            </w:tcMar>
            <w:vAlign w:val="top"/>
          </w:tcPr>
          <w:p>
            <w:r>
              <w:rPr>
                <w:b w:val="0"/>
                <w:i w:val="0"/>
                <w:sz w:val="15"/>
              </w:rPr>
              <w:t>Present the eight-month chronology and Okafor budget email. At minimum, the state-of-mind and reasonableness questions preclude summary judgment on the exception.</w:t>
            </w:r>
          </w:p>
        </w:tc>
      </w:tr>
      <w:tr>
        <w:trPr>
          <w:cantSplit/>
        </w:trPr>
        <w:tc>
          <w:tcPr>
            <w:tcW w:type="dxa" w:w="480"/>
            <w:tcMar>
              <w:top w:w="80" w:type="dxa"/>
              <w:start w:w="120" w:type="dxa"/>
              <w:bottom w:w="80" w:type="dxa"/>
              <w:end w:w="120" w:type="dxa"/>
            </w:tcMar>
            <w:vAlign w:val="top"/>
            <w:shd w:fill="FCE8E6"/>
          </w:tcPr>
          <w:p>
            <w:r>
              <w:rPr>
                <w:b/>
                <w:i w:val="0"/>
                <w:sz w:val="15"/>
              </w:rPr>
              <w:t>P1</w:t>
            </w:r>
          </w:p>
        </w:tc>
        <w:tc>
          <w:tcPr>
            <w:tcW w:type="dxa" w:w="1180"/>
            <w:tcMar>
              <w:top w:w="80" w:type="dxa"/>
              <w:start w:w="120" w:type="dxa"/>
              <w:bottom w:w="80" w:type="dxa"/>
              <w:end w:w="120" w:type="dxa"/>
            </w:tcMar>
            <w:vAlign w:val="top"/>
          </w:tcPr>
          <w:p>
            <w:r>
              <w:rPr>
                <w:b/>
                <w:i w:val="0"/>
                <w:sz w:val="15"/>
              </w:rPr>
              <w:t>Force majeure</w:t>
            </w:r>
          </w:p>
        </w:tc>
        <w:tc>
          <w:tcPr>
            <w:tcW w:type="dxa" w:w="2800"/>
            <w:tcMar>
              <w:top w:w="80" w:type="dxa"/>
              <w:start w:w="120" w:type="dxa"/>
              <w:bottom w:w="80" w:type="dxa"/>
              <w:end w:w="120" w:type="dxa"/>
            </w:tcMar>
            <w:vAlign w:val="top"/>
          </w:tcPr>
          <w:p>
            <w:r>
              <w:rPr>
                <w:b w:val="0"/>
                <w:i w:val="0"/>
                <w:sz w:val="15"/>
              </w:rPr>
              <w:t>Failures were refrigerant/compressor breakdowns in Pinnacle equipment—not external events. Weather was only 2–4°F above average; no utility outage occurred; no 72-hour notice was given.</w:t>
            </w:r>
          </w:p>
        </w:tc>
        <w:tc>
          <w:tcPr>
            <w:tcW w:type="dxa" w:w="1900"/>
            <w:tcMar>
              <w:top w:w="80" w:type="dxa"/>
              <w:start w:w="120" w:type="dxa"/>
              <w:bottom w:w="80" w:type="dxa"/>
              <w:end w:w="120" w:type="dxa"/>
            </w:tcMar>
            <w:vAlign w:val="top"/>
          </w:tcPr>
          <w:p>
            <w:r>
              <w:rPr>
                <w:b w:val="0"/>
                <w:i w:val="0"/>
                <w:sz w:val="15"/>
              </w:rPr>
              <w:t>LSA §11.7; SUMF ¶¶17–22; Holt Dep. 28–30, 38–45, 101–103; Venkatesh Summary §5.3</w:t>
            </w:r>
          </w:p>
        </w:tc>
        <w:tc>
          <w:tcPr>
            <w:tcW w:type="dxa" w:w="3000"/>
            <w:tcMar>
              <w:top w:w="80" w:type="dxa"/>
              <w:start w:w="120" w:type="dxa"/>
              <w:bottom w:w="80" w:type="dxa"/>
              <w:end w:w="120" w:type="dxa"/>
            </w:tcMar>
            <w:vAlign w:val="top"/>
          </w:tcPr>
          <w:p>
            <w:r>
              <w:rPr>
                <w:b w:val="0"/>
                <w:i w:val="0"/>
                <w:sz w:val="15"/>
              </w:rPr>
              <w:t>Separate cause from conditions: even accepting heat, the record supports internal mechanical failure and voluntary deferred replacement. Enforce §11.7’s notice prerequisite.</w:t>
            </w:r>
          </w:p>
        </w:tc>
      </w:tr>
      <w:tr>
        <w:trPr>
          <w:cantSplit/>
        </w:trPr>
        <w:tc>
          <w:tcPr>
            <w:tcW w:type="dxa" w:w="480"/>
            <w:tcMar>
              <w:top w:w="80" w:type="dxa"/>
              <w:start w:w="120" w:type="dxa"/>
              <w:bottom w:w="80" w:type="dxa"/>
              <w:end w:w="120" w:type="dxa"/>
            </w:tcMar>
            <w:vAlign w:val="top"/>
            <w:shd w:fill="FFF4CE"/>
          </w:tcPr>
          <w:p>
            <w:r>
              <w:rPr>
                <w:b/>
                <w:i w:val="0"/>
                <w:sz w:val="15"/>
              </w:rPr>
              <w:t>P2</w:t>
            </w:r>
          </w:p>
        </w:tc>
        <w:tc>
          <w:tcPr>
            <w:tcW w:type="dxa" w:w="1180"/>
            <w:tcMar>
              <w:top w:w="80" w:type="dxa"/>
              <w:start w:w="120" w:type="dxa"/>
              <w:bottom w:w="80" w:type="dxa"/>
              <w:end w:w="120" w:type="dxa"/>
            </w:tcMar>
            <w:vAlign w:val="top"/>
          </w:tcPr>
          <w:p>
            <w:r>
              <w:rPr>
                <w:b/>
                <w:i w:val="0"/>
                <w:sz w:val="15"/>
              </w:rPr>
              <w:t>Cap arithmetic</w:t>
            </w:r>
          </w:p>
        </w:tc>
        <w:tc>
          <w:tcPr>
            <w:tcW w:type="dxa" w:w="2800"/>
            <w:tcMar>
              <w:top w:w="80" w:type="dxa"/>
              <w:start w:w="120" w:type="dxa"/>
              <w:bottom w:w="80" w:type="dxa"/>
              <w:end w:w="120" w:type="dxa"/>
            </w:tcMar>
            <w:vAlign w:val="top"/>
          </w:tcPr>
          <w:p>
            <w:r>
              <w:rPr>
                <w:b w:val="0"/>
                <w:i w:val="0"/>
                <w:sz w:val="15"/>
              </w:rPr>
              <w:t>The motion uses $1.86 million, but §7.1 sets the greater of 12-month fees or $2 million; the motion understates even its fallback cap by $140,000.</w:t>
            </w:r>
          </w:p>
        </w:tc>
        <w:tc>
          <w:tcPr>
            <w:tcW w:type="dxa" w:w="1900"/>
            <w:tcMar>
              <w:top w:w="80" w:type="dxa"/>
              <w:start w:w="120" w:type="dxa"/>
              <w:bottom w:w="80" w:type="dxa"/>
              <w:end w:w="120" w:type="dxa"/>
            </w:tcMar>
            <w:vAlign w:val="top"/>
          </w:tcPr>
          <w:p>
            <w:r>
              <w:rPr>
                <w:b w:val="0"/>
                <w:i w:val="0"/>
                <w:sz w:val="15"/>
              </w:rPr>
              <w:t>LSA §7.1; MSJ liability-limitation section; SUMF ¶43</w:t>
            </w:r>
          </w:p>
        </w:tc>
        <w:tc>
          <w:tcPr>
            <w:tcW w:type="dxa" w:w="3000"/>
            <w:tcMar>
              <w:top w:w="80" w:type="dxa"/>
              <w:start w:w="120" w:type="dxa"/>
              <w:bottom w:w="80" w:type="dxa"/>
              <w:end w:w="120" w:type="dxa"/>
            </w:tcMar>
            <w:vAlign w:val="top"/>
          </w:tcPr>
          <w:p>
            <w:r>
              <w:rPr>
                <w:b w:val="0"/>
                <w:i w:val="0"/>
                <w:sz w:val="15"/>
              </w:rPr>
              <w:t>Correct the math without conceding applicability. Seek denial of Pinnacle’s requested $1.86 million limitation.</w:t>
            </w:r>
          </w:p>
        </w:tc>
      </w:tr>
      <w:tr>
        <w:trPr>
          <w:cantSplit/>
        </w:trPr>
        <w:tc>
          <w:tcPr>
            <w:tcW w:type="dxa" w:w="480"/>
            <w:tcMar>
              <w:top w:w="80" w:type="dxa"/>
              <w:start w:w="120" w:type="dxa"/>
              <w:bottom w:w="80" w:type="dxa"/>
              <w:end w:w="120" w:type="dxa"/>
            </w:tcMar>
            <w:vAlign w:val="top"/>
            <w:shd w:fill="FFF4CE"/>
          </w:tcPr>
          <w:p>
            <w:r>
              <w:rPr>
                <w:b/>
                <w:i w:val="0"/>
                <w:sz w:val="15"/>
              </w:rPr>
              <w:t>P2</w:t>
            </w:r>
          </w:p>
        </w:tc>
        <w:tc>
          <w:tcPr>
            <w:tcW w:type="dxa" w:w="1180"/>
            <w:tcMar>
              <w:top w:w="80" w:type="dxa"/>
              <w:start w:w="120" w:type="dxa"/>
              <w:bottom w:w="80" w:type="dxa"/>
              <w:end w:w="120" w:type="dxa"/>
            </w:tcMar>
            <w:vAlign w:val="top"/>
          </w:tcPr>
          <w:p>
            <w:r>
              <w:rPr>
                <w:b/>
                <w:i w:val="0"/>
                <w:sz w:val="15"/>
              </w:rPr>
              <w:t>§9.1 indemnity omitted</w:t>
            </w:r>
          </w:p>
        </w:tc>
        <w:tc>
          <w:tcPr>
            <w:tcW w:type="dxa" w:w="2800"/>
            <w:tcMar>
              <w:top w:w="80" w:type="dxa"/>
              <w:start w:w="120" w:type="dxa"/>
              <w:bottom w:w="80" w:type="dxa"/>
              <w:end w:w="120" w:type="dxa"/>
            </w:tcMar>
            <w:vAlign w:val="top"/>
          </w:tcPr>
          <w:p>
            <w:r>
              <w:rPr>
                <w:b w:val="0"/>
                <w:i w:val="0"/>
                <w:sz w:val="15"/>
              </w:rPr>
              <w:t>Pinnacle separately agreed to indemnify losses from breaches of §§4.1–4.6, including attorneys’ fees; §7.2(a) excludes §9.1 indemnity from the cap.</w:t>
            </w:r>
          </w:p>
        </w:tc>
        <w:tc>
          <w:tcPr>
            <w:tcW w:type="dxa" w:w="1900"/>
            <w:tcMar>
              <w:top w:w="80" w:type="dxa"/>
              <w:start w:w="120" w:type="dxa"/>
              <w:bottom w:w="80" w:type="dxa"/>
              <w:end w:w="120" w:type="dxa"/>
            </w:tcMar>
            <w:vAlign w:val="top"/>
          </w:tcPr>
          <w:p>
            <w:r>
              <w:rPr>
                <w:b w:val="0"/>
                <w:i w:val="0"/>
                <w:sz w:val="15"/>
              </w:rPr>
              <w:t>LSA §§7.2(a), 9.1</w:t>
            </w:r>
          </w:p>
        </w:tc>
        <w:tc>
          <w:tcPr>
            <w:tcW w:type="dxa" w:w="3000"/>
            <w:tcMar>
              <w:top w:w="80" w:type="dxa"/>
              <w:start w:w="120" w:type="dxa"/>
              <w:bottom w:w="80" w:type="dxa"/>
              <w:end w:w="120" w:type="dxa"/>
            </w:tcMar>
            <w:vAlign w:val="top"/>
          </w:tcPr>
          <w:p>
            <w:r>
              <w:rPr>
                <w:b w:val="0"/>
                <w:i w:val="0"/>
                <w:sz w:val="15"/>
              </w:rPr>
              <w:t>Argue failure of movant’s burden on a separate contractual obligation. Preserve indemnity and fees as outside the motion’s analysis and potentially outside the cap.</w:t>
            </w:r>
          </w:p>
        </w:tc>
      </w:tr>
      <w:tr>
        <w:trPr>
          <w:cantSplit/>
        </w:trPr>
        <w:tc>
          <w:tcPr>
            <w:tcW w:type="dxa" w:w="480"/>
            <w:tcMar>
              <w:top w:w="80" w:type="dxa"/>
              <w:start w:w="120" w:type="dxa"/>
              <w:bottom w:w="80" w:type="dxa"/>
              <w:end w:w="120" w:type="dxa"/>
            </w:tcMar>
            <w:vAlign w:val="top"/>
            <w:shd w:fill="FFF4CE"/>
          </w:tcPr>
          <w:p>
            <w:r>
              <w:rPr>
                <w:b/>
                <w:i w:val="0"/>
                <w:sz w:val="15"/>
              </w:rPr>
              <w:t>P2</w:t>
            </w:r>
          </w:p>
        </w:tc>
        <w:tc>
          <w:tcPr>
            <w:tcW w:type="dxa" w:w="1180"/>
            <w:tcMar>
              <w:top w:w="80" w:type="dxa"/>
              <w:start w:w="120" w:type="dxa"/>
              <w:bottom w:w="80" w:type="dxa"/>
              <w:end w:w="120" w:type="dxa"/>
            </w:tcMar>
            <w:vAlign w:val="top"/>
          </w:tcPr>
          <w:p>
            <w:r>
              <w:rPr>
                <w:b/>
                <w:i w:val="0"/>
                <w:sz w:val="15"/>
              </w:rPr>
              <w:t>Mitigation / concealed breach</w:t>
            </w:r>
          </w:p>
        </w:tc>
        <w:tc>
          <w:tcPr>
            <w:tcW w:type="dxa" w:w="2800"/>
            <w:tcMar>
              <w:top w:w="80" w:type="dxa"/>
              <w:start w:w="120" w:type="dxa"/>
              <w:bottom w:w="80" w:type="dxa"/>
              <w:end w:w="120" w:type="dxa"/>
            </w:tcMar>
            <w:vAlign w:val="top"/>
          </w:tcPr>
          <w:p>
            <w:r>
              <w:rPr>
                <w:b w:val="0"/>
                <w:i w:val="0"/>
                <w:sz w:val="15"/>
              </w:rPr>
              <w:t>Greenfield lacked required reports and notice. §7.4 imposes no duty to discover a concealed breach or one undisclosed through required reports.</w:t>
            </w:r>
          </w:p>
        </w:tc>
        <w:tc>
          <w:tcPr>
            <w:tcW w:type="dxa" w:w="1900"/>
            <w:tcMar>
              <w:top w:w="80" w:type="dxa"/>
              <w:start w:w="120" w:type="dxa"/>
              <w:bottom w:w="80" w:type="dxa"/>
              <w:end w:w="120" w:type="dxa"/>
            </w:tcMar>
            <w:vAlign w:val="top"/>
          </w:tcPr>
          <w:p>
            <w:r>
              <w:rPr>
                <w:b w:val="0"/>
                <w:i w:val="0"/>
                <w:sz w:val="15"/>
              </w:rPr>
              <w:t>LSA §7.4; Holt Dep. 65–68, 82–85; Santos Dep. 33–38, 45–51</w:t>
            </w:r>
          </w:p>
        </w:tc>
        <w:tc>
          <w:tcPr>
            <w:tcW w:type="dxa" w:w="3000"/>
            <w:tcMar>
              <w:top w:w="80" w:type="dxa"/>
              <w:start w:w="120" w:type="dxa"/>
              <w:bottom w:w="80" w:type="dxa"/>
              <w:end w:w="120" w:type="dxa"/>
            </w:tcMar>
            <w:vAlign w:val="top"/>
          </w:tcPr>
          <w:p>
            <w:r>
              <w:rPr>
                <w:b w:val="0"/>
                <w:i w:val="0"/>
                <w:sz w:val="15"/>
              </w:rPr>
              <w:t>Use the contract’s own allocation of discovery risk. Connect concealment to Greenfield’s inability to act before February 6.</w:t>
            </w:r>
          </w:p>
        </w:tc>
      </w:tr>
      <w:tr>
        <w:trPr>
          <w:cantSplit/>
        </w:trPr>
        <w:tc>
          <w:tcPr>
            <w:tcW w:type="dxa" w:w="480"/>
            <w:tcMar>
              <w:top w:w="80" w:type="dxa"/>
              <w:start w:w="120" w:type="dxa"/>
              <w:bottom w:w="80" w:type="dxa"/>
              <w:end w:w="120" w:type="dxa"/>
            </w:tcMar>
            <w:vAlign w:val="top"/>
            <w:shd w:fill="FFF4CE"/>
          </w:tcPr>
          <w:p>
            <w:r>
              <w:rPr>
                <w:b/>
                <w:i w:val="0"/>
                <w:sz w:val="15"/>
              </w:rPr>
              <w:t>P2</w:t>
            </w:r>
          </w:p>
        </w:tc>
        <w:tc>
          <w:tcPr>
            <w:tcW w:type="dxa" w:w="1180"/>
            <w:tcMar>
              <w:top w:w="80" w:type="dxa"/>
              <w:start w:w="120" w:type="dxa"/>
              <w:bottom w:w="80" w:type="dxa"/>
              <w:end w:w="120" w:type="dxa"/>
            </w:tcMar>
            <w:vAlign w:val="top"/>
          </w:tcPr>
          <w:p>
            <w:r>
              <w:rPr>
                <w:b/>
                <w:i w:val="0"/>
                <w:sz w:val="15"/>
              </w:rPr>
              <w:t>SUMF ¶23 conflation</w:t>
            </w:r>
          </w:p>
        </w:tc>
        <w:tc>
          <w:tcPr>
            <w:tcW w:type="dxa" w:w="2800"/>
            <w:tcMar>
              <w:top w:w="80" w:type="dxa"/>
              <w:start w:w="120" w:type="dxa"/>
              <w:bottom w:w="80" w:type="dxa"/>
              <w:end w:w="120" w:type="dxa"/>
            </w:tcMar>
            <w:vAlign w:val="top"/>
          </w:tcPr>
          <w:p>
            <w:r>
              <w:rPr>
                <w:b w:val="0"/>
                <w:i w:val="0"/>
                <w:sz w:val="15"/>
              </w:rPr>
              <w:t>Inspection rights under §4.5 were “in addition to, and not in lieu of” Pinnacle’s §4.2 reporting and notice duties.</w:t>
            </w:r>
          </w:p>
        </w:tc>
        <w:tc>
          <w:tcPr>
            <w:tcW w:type="dxa" w:w="1900"/>
            <w:tcMar>
              <w:top w:w="80" w:type="dxa"/>
              <w:start w:w="120" w:type="dxa"/>
              <w:bottom w:w="80" w:type="dxa"/>
              <w:end w:w="120" w:type="dxa"/>
            </w:tcMar>
            <w:vAlign w:val="top"/>
          </w:tcPr>
          <w:p>
            <w:r>
              <w:rPr>
                <w:b w:val="0"/>
                <w:i w:val="0"/>
                <w:sz w:val="15"/>
              </w:rPr>
              <w:t>LSA §§4.2, 4.5; SUMF ¶23</w:t>
            </w:r>
          </w:p>
        </w:tc>
        <w:tc>
          <w:tcPr>
            <w:tcW w:type="dxa" w:w="3000"/>
            <w:tcMar>
              <w:top w:w="80" w:type="dxa"/>
              <w:start w:w="120" w:type="dxa"/>
              <w:bottom w:w="80" w:type="dxa"/>
              <w:end w:w="120" w:type="dxa"/>
            </w:tcMar>
            <w:vAlign w:val="top"/>
          </w:tcPr>
          <w:p>
            <w:r>
              <w:rPr>
                <w:b w:val="0"/>
                <w:i w:val="0"/>
                <w:sz w:val="15"/>
              </w:rPr>
              <w:t>Dispute ¶23 as incomplete and misleading; quote §4.5’s limiting sentence and submit missing-report proof.</w:t>
            </w:r>
          </w:p>
        </w:tc>
      </w:tr>
      <w:tr>
        <w:trPr>
          <w:cantSplit/>
        </w:trPr>
        <w:tc>
          <w:tcPr>
            <w:tcW w:type="dxa" w:w="480"/>
            <w:tcMar>
              <w:top w:w="80" w:type="dxa"/>
              <w:start w:w="120" w:type="dxa"/>
              <w:bottom w:w="80" w:type="dxa"/>
              <w:end w:w="120" w:type="dxa"/>
            </w:tcMar>
            <w:vAlign w:val="top"/>
            <w:shd w:fill="FFF4CE"/>
          </w:tcPr>
          <w:p>
            <w:r>
              <w:rPr>
                <w:b/>
                <w:i w:val="0"/>
                <w:sz w:val="15"/>
              </w:rPr>
              <w:t>P2</w:t>
            </w:r>
          </w:p>
        </w:tc>
        <w:tc>
          <w:tcPr>
            <w:tcW w:type="dxa" w:w="1180"/>
            <w:tcMar>
              <w:top w:w="80" w:type="dxa"/>
              <w:start w:w="120" w:type="dxa"/>
              <w:bottom w:w="80" w:type="dxa"/>
              <w:end w:w="120" w:type="dxa"/>
            </w:tcMar>
            <w:vAlign w:val="top"/>
          </w:tcPr>
          <w:p>
            <w:r>
              <w:rPr>
                <w:b/>
                <w:i w:val="0"/>
                <w:sz w:val="15"/>
              </w:rPr>
              <w:t>SUMF ¶31 / Santos</w:t>
            </w:r>
          </w:p>
        </w:tc>
        <w:tc>
          <w:tcPr>
            <w:tcW w:type="dxa" w:w="2800"/>
            <w:tcMar>
              <w:top w:w="80" w:type="dxa"/>
              <w:start w:w="120" w:type="dxa"/>
              <w:bottom w:w="80" w:type="dxa"/>
              <w:end w:w="120" w:type="dxa"/>
            </w:tcMar>
            <w:vAlign w:val="top"/>
          </w:tcPr>
          <w:p>
            <w:r>
              <w:rPr>
                <w:b w:val="0"/>
                <w:i w:val="0"/>
                <w:sz w:val="15"/>
              </w:rPr>
              <w:t>Santos visited approximately quarterly for logistics, not inspection; had no HVAC expertise; relied on reports; and received none after October.</w:t>
            </w:r>
          </w:p>
        </w:tc>
        <w:tc>
          <w:tcPr>
            <w:tcW w:type="dxa" w:w="1900"/>
            <w:tcMar>
              <w:top w:w="80" w:type="dxa"/>
              <w:start w:w="120" w:type="dxa"/>
              <w:bottom w:w="80" w:type="dxa"/>
              <w:end w:w="120" w:type="dxa"/>
            </w:tcMar>
            <w:vAlign w:val="top"/>
          </w:tcPr>
          <w:p>
            <w:r>
              <w:rPr>
                <w:b w:val="0"/>
                <w:i w:val="0"/>
                <w:sz w:val="15"/>
              </w:rPr>
              <w:t>Santos Dep. 24–29, 33–38, 55–57; SUMF ¶31</w:t>
            </w:r>
          </w:p>
        </w:tc>
        <w:tc>
          <w:tcPr>
            <w:tcW w:type="dxa" w:w="3000"/>
            <w:tcMar>
              <w:top w:w="80" w:type="dxa"/>
              <w:start w:w="120" w:type="dxa"/>
              <w:bottom w:w="80" w:type="dxa"/>
              <w:end w:w="120" w:type="dxa"/>
            </w:tcMar>
            <w:vAlign w:val="top"/>
          </w:tcPr>
          <w:p>
            <w:r>
              <w:rPr>
                <w:b w:val="0"/>
                <w:i w:val="0"/>
                <w:sz w:val="15"/>
              </w:rPr>
              <w:t>Dispute ¶31 with his full testimony. Use it as evidence that concealment worked, not that conditions were compliant.</w:t>
            </w:r>
          </w:p>
        </w:tc>
      </w:tr>
      <w:tr>
        <w:trPr>
          <w:cantSplit/>
        </w:trPr>
        <w:tc>
          <w:tcPr>
            <w:tcW w:type="dxa" w:w="480"/>
            <w:tcMar>
              <w:top w:w="80" w:type="dxa"/>
              <w:start w:w="120" w:type="dxa"/>
              <w:bottom w:w="80" w:type="dxa"/>
              <w:end w:w="120" w:type="dxa"/>
            </w:tcMar>
            <w:vAlign w:val="top"/>
            <w:shd w:fill="FFF4CE"/>
          </w:tcPr>
          <w:p>
            <w:r>
              <w:rPr>
                <w:b/>
                <w:i w:val="0"/>
                <w:sz w:val="15"/>
              </w:rPr>
              <w:t>P2</w:t>
            </w:r>
          </w:p>
        </w:tc>
        <w:tc>
          <w:tcPr>
            <w:tcW w:type="dxa" w:w="1180"/>
            <w:tcMar>
              <w:top w:w="80" w:type="dxa"/>
              <w:start w:w="120" w:type="dxa"/>
              <w:bottom w:w="80" w:type="dxa"/>
              <w:end w:w="120" w:type="dxa"/>
            </w:tcMar>
            <w:vAlign w:val="top"/>
          </w:tcPr>
          <w:p>
            <w:r>
              <w:rPr>
                <w:b/>
                <w:i w:val="0"/>
                <w:sz w:val="15"/>
              </w:rPr>
              <w:t>Ellington salvageability</w:t>
            </w:r>
          </w:p>
        </w:tc>
        <w:tc>
          <w:tcPr>
            <w:tcW w:type="dxa" w:w="2800"/>
            <w:tcMar>
              <w:top w:w="80" w:type="dxa"/>
              <w:start w:w="120" w:type="dxa"/>
              <w:bottom w:w="80" w:type="dxa"/>
              <w:end w:w="120" w:type="dxa"/>
            </w:tcMar>
            <w:vAlign w:val="top"/>
          </w:tcPr>
          <w:p>
            <w:r>
              <w:rPr>
                <w:b w:val="0"/>
                <w:i w:val="0"/>
                <w:sz w:val="15"/>
              </w:rPr>
              <w:t>Ellington lacks mold-remediation credentials, did not review IICRC S520 or the relevant peer-reviewed wood-panel literature, and deferred salvageability to Greenfield’s industrial-hygiene expert.</w:t>
            </w:r>
          </w:p>
        </w:tc>
        <w:tc>
          <w:tcPr>
            <w:tcW w:type="dxa" w:w="1900"/>
            <w:tcMar>
              <w:top w:w="80" w:type="dxa"/>
              <w:start w:w="120" w:type="dxa"/>
              <w:bottom w:w="80" w:type="dxa"/>
              <w:end w:w="120" w:type="dxa"/>
            </w:tcMar>
            <w:vAlign w:val="top"/>
          </w:tcPr>
          <w:p>
            <w:r>
              <w:rPr>
                <w:b w:val="0"/>
                <w:i w:val="0"/>
                <w:sz w:val="15"/>
              </w:rPr>
              <w:t>Ellington Dep. 77–85; Ellington Decl.; Venkatesh Summary §5.5</w:t>
            </w:r>
          </w:p>
        </w:tc>
        <w:tc>
          <w:tcPr>
            <w:tcW w:type="dxa" w:w="3000"/>
            <w:tcMar>
              <w:top w:w="80" w:type="dxa"/>
              <w:start w:w="120" w:type="dxa"/>
              <w:bottom w:w="80" w:type="dxa"/>
              <w:end w:w="120" w:type="dxa"/>
            </w:tcMar>
            <w:vAlign w:val="top"/>
          </w:tcPr>
          <w:p>
            <w:r>
              <w:rPr>
                <w:b w:val="0"/>
                <w:i w:val="0"/>
                <w:sz w:val="15"/>
              </w:rPr>
              <w:t>Target only the salvageability opinion under Daubert/Rule 702; move in limine or object. Do not overreach against his separate economic opinions.</w:t>
            </w:r>
          </w:p>
        </w:tc>
      </w:tr>
      <w:tr>
        <w:trPr>
          <w:cantSplit/>
        </w:trPr>
        <w:tc>
          <w:tcPr>
            <w:tcW w:type="dxa" w:w="480"/>
            <w:tcMar>
              <w:top w:w="80" w:type="dxa"/>
              <w:start w:w="120" w:type="dxa"/>
              <w:bottom w:w="80" w:type="dxa"/>
              <w:end w:w="120" w:type="dxa"/>
            </w:tcMar>
            <w:vAlign w:val="top"/>
            <w:shd w:fill="F2F4F7"/>
          </w:tcPr>
          <w:p>
            <w:r>
              <w:rPr>
                <w:b/>
                <w:i w:val="0"/>
                <w:sz w:val="15"/>
              </w:rPr>
              <w:t>P3</w:t>
            </w:r>
          </w:p>
        </w:tc>
        <w:tc>
          <w:tcPr>
            <w:tcW w:type="dxa" w:w="1180"/>
            <w:tcMar>
              <w:top w:w="80" w:type="dxa"/>
              <w:start w:w="120" w:type="dxa"/>
              <w:bottom w:w="80" w:type="dxa"/>
              <w:end w:w="120" w:type="dxa"/>
            </w:tcMar>
            <w:vAlign w:val="top"/>
          </w:tcPr>
          <w:p>
            <w:r>
              <w:rPr>
                <w:b/>
                <w:i w:val="0"/>
                <w:sz w:val="15"/>
              </w:rPr>
              <w:t>Comparative fault</w:t>
            </w:r>
          </w:p>
        </w:tc>
        <w:tc>
          <w:tcPr>
            <w:tcW w:type="dxa" w:w="2800"/>
            <w:tcMar>
              <w:top w:w="80" w:type="dxa"/>
              <w:start w:w="120" w:type="dxa"/>
              <w:bottom w:w="80" w:type="dxa"/>
              <w:end w:w="120" w:type="dxa"/>
            </w:tcMar>
            <w:vAlign w:val="top"/>
          </w:tcPr>
          <w:p>
            <w:r>
              <w:rPr>
                <w:b w:val="0"/>
                <w:i w:val="0"/>
                <w:sz w:val="15"/>
              </w:rPr>
              <w:t>Comparative/contributory negligence does not defeat the contract claim; for tort, O.C.G.A. §51-12-33 bars recovery only at 50% or more, and concealment defeats Pinnacle’s factual premise.</w:t>
            </w:r>
          </w:p>
        </w:tc>
        <w:tc>
          <w:tcPr>
            <w:tcW w:type="dxa" w:w="1900"/>
            <w:tcMar>
              <w:top w:w="80" w:type="dxa"/>
              <w:start w:w="120" w:type="dxa"/>
              <w:bottom w:w="80" w:type="dxa"/>
              <w:end w:w="120" w:type="dxa"/>
            </w:tcMar>
            <w:vAlign w:val="top"/>
          </w:tcPr>
          <w:p>
            <w:r>
              <w:rPr>
                <w:b w:val="0"/>
                <w:i w:val="0"/>
                <w:sz w:val="15"/>
              </w:rPr>
              <w:t>MSJ comparative-fault section; LSA §§4.2, 7.4; Holt Dep. 65–68</w:t>
            </w:r>
          </w:p>
        </w:tc>
        <w:tc>
          <w:tcPr>
            <w:tcW w:type="dxa" w:w="3000"/>
            <w:tcMar>
              <w:top w:w="80" w:type="dxa"/>
              <w:start w:w="120" w:type="dxa"/>
              <w:bottom w:w="80" w:type="dxa"/>
              <w:end w:w="120" w:type="dxa"/>
            </w:tcMar>
            <w:vAlign w:val="top"/>
          </w:tcPr>
          <w:p>
            <w:r>
              <w:rPr>
                <w:b w:val="0"/>
                <w:i w:val="0"/>
                <w:sz w:val="15"/>
              </w:rPr>
              <w:t>Separate contract and tort. Reject the defense as legally irrelevant to contract and fact-bound on negligence.</w:t>
            </w:r>
          </w:p>
        </w:tc>
      </w:tr>
      <w:tr>
        <w:trPr>
          <w:cantSplit/>
        </w:trPr>
        <w:tc>
          <w:tcPr>
            <w:tcW w:type="dxa" w:w="480"/>
            <w:tcMar>
              <w:top w:w="80" w:type="dxa"/>
              <w:start w:w="120" w:type="dxa"/>
              <w:bottom w:w="80" w:type="dxa"/>
              <w:end w:w="120" w:type="dxa"/>
            </w:tcMar>
            <w:vAlign w:val="top"/>
            <w:shd w:fill="F2F4F7"/>
          </w:tcPr>
          <w:p>
            <w:r>
              <w:rPr>
                <w:b/>
                <w:i w:val="0"/>
                <w:sz w:val="15"/>
              </w:rPr>
              <w:t>P3</w:t>
            </w:r>
          </w:p>
        </w:tc>
        <w:tc>
          <w:tcPr>
            <w:tcW w:type="dxa" w:w="1180"/>
            <w:tcMar>
              <w:top w:w="80" w:type="dxa"/>
              <w:start w:w="120" w:type="dxa"/>
              <w:bottom w:w="80" w:type="dxa"/>
              <w:end w:w="120" w:type="dxa"/>
            </w:tcMar>
            <w:vAlign w:val="top"/>
          </w:tcPr>
          <w:p>
            <w:r>
              <w:rPr>
                <w:b/>
                <w:i w:val="0"/>
                <w:sz w:val="15"/>
              </w:rPr>
              <w:t>Record identity cleanup</w:t>
            </w:r>
          </w:p>
        </w:tc>
        <w:tc>
          <w:tcPr>
            <w:tcW w:type="dxa" w:w="2800"/>
            <w:tcMar>
              <w:top w:w="80" w:type="dxa"/>
              <w:start w:w="120" w:type="dxa"/>
              <w:bottom w:w="80" w:type="dxa"/>
              <w:end w:w="120" w:type="dxa"/>
            </w:tcMar>
            <w:vAlign w:val="top"/>
          </w:tcPr>
          <w:p>
            <w:r>
              <w:rPr>
                <w:b w:val="0"/>
                <w:i w:val="0"/>
                <w:sz w:val="15"/>
              </w:rPr>
              <w:t>The record inconsistently labels the experts (Venkatesh/Subramanian and Marcus/Raymond Ellington). The supplied expert summary itself identifies Dr. Anita Venkatesh; Ellington’s declaration identifies Dr. Marcus Ellington.</w:t>
            </w:r>
          </w:p>
        </w:tc>
        <w:tc>
          <w:tcPr>
            <w:tcW w:type="dxa" w:w="1900"/>
            <w:tcMar>
              <w:top w:w="80" w:type="dxa"/>
              <w:start w:w="120" w:type="dxa"/>
              <w:bottom w:w="80" w:type="dxa"/>
              <w:end w:w="120" w:type="dxa"/>
            </w:tcMar>
            <w:vAlign w:val="top"/>
          </w:tcPr>
          <w:p>
            <w:r>
              <w:rPr>
                <w:b w:val="0"/>
                <w:i w:val="0"/>
                <w:sz w:val="15"/>
              </w:rPr>
              <w:t>Venkatesh Expert Summary title; Ellington Decl.; MSJ introduction; Okafor Decl. ¶10</w:t>
            </w:r>
          </w:p>
        </w:tc>
        <w:tc>
          <w:tcPr>
            <w:tcW w:type="dxa" w:w="3000"/>
            <w:tcMar>
              <w:top w:w="80" w:type="dxa"/>
              <w:start w:w="120" w:type="dxa"/>
              <w:bottom w:w="80" w:type="dxa"/>
              <w:end w:w="120" w:type="dxa"/>
            </w:tcMar>
            <w:vAlign w:val="top"/>
          </w:tcPr>
          <w:p>
            <w:r>
              <w:rPr>
                <w:b w:val="0"/>
                <w:i w:val="0"/>
                <w:sz w:val="15"/>
              </w:rPr>
              <w:t>Use correct names, attach the operative materials, and flag the motion’s identity errors without making them a merits centerpiece.</w:t>
            </w:r>
          </w:p>
        </w:tc>
      </w:tr>
    </w:tbl>
    <w:p>
      <w:pPr>
        <w:pStyle w:val="Heading1"/>
      </w:pPr>
      <w:r>
        <w:t>I. Independent grounds for denial</w:t>
      </w:r>
    </w:p>
    <w:p>
      <w:pPr>
        <w:pStyle w:val="Heading2"/>
      </w:pPr>
      <w:r>
        <w:t>A. Holt–Okafor credibility dispute and concealed reports</w:t>
      </w:r>
    </w:p>
    <w:p>
      <w:pPr>
        <w:spacing w:after="120" w:line="264" w:lineRule="auto"/>
      </w:pPr>
      <w:r>
        <w:t>Holt testified that environmental readings were in the upper 60s and 70s and that Okafor told him to hold off on the November 2022–January 2023 reports and avoid creating alarms. Holt Dep. 65–68. Okafor says she does not recall directing Holt to withhold reports and attributes the delay to calibration review. Okafor Decl. ¶7; SUMF ¶¶25–26. Those accounts cannot both be accepted as the only reasonable version. The motion’s attempt to treat Okafor’s account as undisputed requires a credibility choice.</w:t>
      </w:r>
    </w:p>
    <w:p>
      <w:pPr>
        <w:spacing w:after="120" w:line="264" w:lineRule="auto"/>
      </w:pPr>
      <w:r>
        <w:rPr>
          <w:b/>
          <w:i w:val="0"/>
        </w:rPr>
        <w:t xml:space="preserve">Response. </w:t>
      </w:r>
      <w:r>
        <w:rPr>
          <w:b w:val="0"/>
          <w:i w:val="0"/>
        </w:rPr>
        <w:t xml:space="preserve">Quote both witnesses and invoke Fed. R. Civ. P. 56 and </w:t>
      </w:r>
      <w:r>
        <w:rPr>
          <w:b w:val="0"/>
          <w:i/>
        </w:rPr>
        <w:t>Anderson v. Liberty Lobby, Inc.</w:t>
      </w:r>
      <w:r>
        <w:rPr>
          <w:b w:val="0"/>
          <w:i w:val="0"/>
        </w:rPr>
        <w:t>, 477 U.S. 242 (1986): evidence must be viewed for Greenfield and credibility cannot be weighed. This dispute independently warrants denial because it bears on breach, gross negligence, mitigation, causation, and the contractual exceptions.</w:t>
      </w:r>
    </w:p>
    <w:p>
      <w:pPr>
        <w:pStyle w:val="Heading2"/>
      </w:pPr>
      <w:r>
        <w:t>B. Gross negligence is a jury question and defeats the limitations</w:t>
      </w:r>
    </w:p>
    <w:p>
      <w:pPr>
        <w:spacing w:after="120" w:line="264" w:lineRule="auto"/>
      </w:pPr>
      <w:r>
        <w:t>Sections 7.1 and 7.2 exclude claims arising from gross negligence or willful misconduct. The motion largely assumes the limitation applies without confronting that text. LSA §§7.1–7.2. At least four separate record categories support a gross-negligence inference: repeated HVAC breakdowns over roughly eight months; Okafor’s budget instruction—“Get another patch. Replacement not in the budget until Q1 2023. Let’s revisit in December”; deliberate withholding of adverse reports; and failure to notify Greenfield after the January 18 complete failure. Holt Dep. 28–30, 38–45, 56–58, 65–68, 82–85.</w:t>
      </w:r>
    </w:p>
    <w:p>
      <w:pPr>
        <w:spacing w:after="120" w:line="264" w:lineRule="auto"/>
      </w:pPr>
      <w:r>
        <w:rPr>
          <w:b/>
          <w:i w:val="0"/>
        </w:rPr>
        <w:t xml:space="preserve">Response. </w:t>
      </w:r>
      <w:r>
        <w:rPr>
          <w:b w:val="0"/>
          <w:i w:val="0"/>
        </w:rPr>
        <w:t>Use a dated chronology, attach the budget email and testimony, and argue that the reasonableness and state-of-mind inferences belong to the factfinder. This is independently sufficient to defeat summary judgment on the cap and waiver defenses, even if the Court does not decide gross negligence now.</w:t>
      </w:r>
    </w:p>
    <w:p>
      <w:pPr>
        <w:pStyle w:val="Heading2"/>
      </w:pPr>
      <w:r>
        <w:t>C. Section 7.3 expressly preserves claims arising from §4.2</w:t>
      </w:r>
    </w:p>
    <w:p>
      <w:pPr>
        <w:spacing w:after="120" w:line="264" w:lineRule="auto"/>
      </w:pPr>
      <w:r>
        <w:t>Section 7.3 states that its consequential-damages waiver does not apply to claims arising from gross negligence, willful misconduct, or breach of §4.2. Pinnacle’s quotation omits that operative language. Greenfield’s claims arise directly from §4.2’s temperature, humidity, monitoring, and monthly-report requirements. The motion therefore has no textual basis to bar Greenfield’s $890,000 lost-profits component or $1.15 million expedited-manufacturing component under §7.3. LSA §§4.2, 7.3; MSJ damages-limitation section; SUMF ¶¶40–42.</w:t>
      </w:r>
    </w:p>
    <w:p>
      <w:pPr>
        <w:spacing w:after="120" w:line="264" w:lineRule="auto"/>
      </w:pPr>
      <w:r>
        <w:rPr>
          <w:b/>
          <w:i w:val="0"/>
        </w:rPr>
        <w:t xml:space="preserve">Response. </w:t>
      </w:r>
      <w:r>
        <w:rPr>
          <w:b w:val="0"/>
          <w:i w:val="0"/>
        </w:rPr>
        <w:t>Reproduce §§4.2 and 7.3 in full, identify the omitted carveout, and tie each damage category to the storage-condition breach. This contract-text ground independently defeats the requested waiver ruling without requiring a gross-negligence finding.</w:t>
      </w:r>
    </w:p>
    <w:p>
      <w:pPr>
        <w:pStyle w:val="Heading1"/>
      </w:pPr>
      <w:r>
        <w:t>II. Force majeure fails on cause, evidence, and notice</w:t>
      </w:r>
    </w:p>
    <w:p>
      <w:pPr>
        <w:spacing w:after="120" w:line="264" w:lineRule="auto"/>
      </w:pPr>
      <w:r>
        <w:t>Section 11.7 applies only to events beyond the affected party’s reasonable control, requires notice within 72 hours, and requires reasonable efforts to mitigate the event. The motion’s “unprecedented heatwave” label does not eliminate multiple disputes. LSA §11.7.</w:t>
      </w:r>
    </w:p>
    <w:p>
      <w:pPr>
        <w:pStyle w:val="ListBullet"/>
        <w:spacing w:after="160" w:line="280" w:lineRule="auto"/>
        <w:ind w:left="720" w:hanging="360"/>
        <w:keepLines/>
      </w:pPr>
      <w:r>
        <w:rPr>
          <w:b/>
          <w:i w:val="0"/>
        </w:rPr>
        <w:t xml:space="preserve">Internal cause. </w:t>
      </w:r>
      <w:r>
        <w:rPr>
          <w:b w:val="0"/>
          <w:i w:val="0"/>
        </w:rPr>
        <w:t>Holt described refrigerant leaks and compressor failures in Pinnacle’s aging Unit 3. He testified that heat may stress equipment but the root problem was old mechanical equipment. Holt Dep. 28–30, 38–45, 82–85, 101–103; SUMF ¶¶18–21. Response: frame this as failure of Pinnacle-controlled machinery, not impossibility caused by an external event.</w:t>
      </w:r>
    </w:p>
    <w:p>
      <w:pPr>
        <w:pStyle w:val="ListBullet"/>
        <w:spacing w:after="160" w:line="280" w:lineRule="auto"/>
        <w:ind w:left="720" w:hanging="360"/>
        <w:keepLines/>
      </w:pPr>
      <w:r>
        <w:rPr>
          <w:b/>
          <w:i w:val="0"/>
        </w:rPr>
        <w:t xml:space="preserve">Ordinary-range weather evidence. </w:t>
      </w:r>
      <w:r>
        <w:rPr>
          <w:b w:val="0"/>
          <w:i w:val="0"/>
        </w:rPr>
        <w:t>National Weather Service data showed temperatures only 2°F–4°F above the 30-year average, contrary to “unprecedented.” Venkatesh Expert Summary §5.3; SUMF ¶17. Response: attach the stated data and challenge the motion’s adjective as advocacy, not an undisputed fact.</w:t>
      </w:r>
    </w:p>
    <w:p>
      <w:pPr>
        <w:pStyle w:val="ListBullet"/>
        <w:spacing w:after="160" w:line="280" w:lineRule="auto"/>
        <w:ind w:left="720" w:hanging="360"/>
        <w:keepLines/>
      </w:pPr>
      <w:r>
        <w:rPr>
          <w:b/>
          <w:i w:val="0"/>
        </w:rPr>
        <w:t xml:space="preserve">No utility outage. </w:t>
      </w:r>
      <w:r>
        <w:rPr>
          <w:b w:val="0"/>
          <w:i w:val="0"/>
        </w:rPr>
        <w:t>Georgia Power records showed no outage at the facility. Venkatesh Expert Summary §5.3; Holt Dep. 101–103; SUMF ¶22. Response: foreclose external power failure as the causal mechanism.</w:t>
      </w:r>
    </w:p>
    <w:p>
      <w:pPr>
        <w:pStyle w:val="ListBullet"/>
        <w:spacing w:after="160" w:line="280" w:lineRule="auto"/>
        <w:ind w:left="720" w:hanging="360"/>
        <w:keepLines/>
      </w:pPr>
      <w:r>
        <w:rPr>
          <w:b/>
          <w:i w:val="0"/>
        </w:rPr>
        <w:t xml:space="preserve">No 72-hour notice. </w:t>
      </w:r>
      <w:r>
        <w:rPr>
          <w:b w:val="0"/>
          <w:i w:val="0"/>
        </w:rPr>
        <w:t>Holt acknowledged Greenfield was not notified of the June, August, October, or January events. Holt Dep. 28–30, 38–45, 56–58, 82–85. Response: enforce §11.7’s express procedural prerequisite.</w:t>
      </w:r>
    </w:p>
    <w:p>
      <w:pPr>
        <w:pStyle w:val="ListBullet"/>
        <w:spacing w:after="160" w:line="280" w:lineRule="auto"/>
        <w:ind w:left="720" w:hanging="360"/>
        <w:keepLines/>
      </w:pPr>
      <w:r>
        <w:rPr>
          <w:b/>
          <w:i w:val="0"/>
        </w:rPr>
        <w:t xml:space="preserve">Budget—not unavoidable event. </w:t>
      </w:r>
      <w:r>
        <w:rPr>
          <w:b w:val="0"/>
          <w:i w:val="0"/>
        </w:rPr>
        <w:t>After the August failure, Holt recommended replacement; Okafor directed another patch because replacement was not in the budget until Q1 2023. Holt Dep. 38–45. Response: characterize deferred capital spending as a voluntary business decision incompatible with force majeure and relevant to gross negligence.</w:t>
      </w:r>
    </w:p>
    <w:p>
      <w:pPr>
        <w:pStyle w:val="Heading1"/>
      </w:pPr>
      <w:r>
        <w:t>III. Contract and defense errors</w:t>
      </w:r>
    </w:p>
    <w:p>
      <w:pPr>
        <w:pStyle w:val="Heading2"/>
      </w:pPr>
      <w:r>
        <w:t>A. Section 4.2 breach and the missing reports</w:t>
      </w:r>
    </w:p>
    <w:p>
      <w:pPr>
        <w:spacing w:after="120" w:line="264" w:lineRule="auto"/>
      </w:pPr>
      <w:r>
        <w:t>Section 4.2 required 55°F–80°F, relative humidity no higher than 60%, continuous monitoring, and monthly compliance reports. Dr. Anita Venkatesh measured 72%–85% relative humidity during her February 15–17 inspection, with an average near 78%. Venkatesh Expert Summary §3.3. The November, December, and January reports were not delivered. Holt Dep. 65–68; Santos Dep. 33–38; SUMF ¶25. The January 18 complete failure likewise was not disclosed. Holt Dep. 82–85.</w:t>
      </w:r>
    </w:p>
    <w:p>
      <w:pPr>
        <w:spacing w:after="120" w:line="264" w:lineRule="auto"/>
      </w:pPr>
      <w:r>
        <w:rPr>
          <w:b/>
          <w:i w:val="0"/>
        </w:rPr>
        <w:t xml:space="preserve">Response. </w:t>
      </w:r>
      <w:r>
        <w:rPr>
          <w:b w:val="0"/>
          <w:i w:val="0"/>
        </w:rPr>
        <w:t>Treat the numerical humidity breach, missing reports, and non-notice as distinct breaches. Use Venkatesh’s causation/contamination work, report history, and the chronology to defeat any assertion that Greenfield lacks breach or causation evidence.</w:t>
      </w:r>
    </w:p>
    <w:p>
      <w:pPr>
        <w:pStyle w:val="Heading2"/>
      </w:pPr>
      <w:r>
        <w:t>B. SUMF ¶23 improperly replaces reporting with inspection</w:t>
      </w:r>
    </w:p>
    <w:p>
      <w:pPr>
        <w:spacing w:after="120" w:line="264" w:lineRule="auto"/>
      </w:pPr>
      <w:r>
        <w:t>SUMF ¶23 invokes Greenfield’s right to inspect on 48 hours’ notice under §4.5. But §4.5 expressly says inspection rights are “in addition to, and not in lieu of” Pinnacle’s reporting and notification duties. LSA §§4.2, 4.5. That language forecloses the motion’s premise that Greenfield’s failure to inspect excuses Pinnacle’s failure to report.</w:t>
      </w:r>
    </w:p>
    <w:p>
      <w:pPr>
        <w:spacing w:after="120" w:line="264" w:lineRule="auto"/>
      </w:pPr>
      <w:r>
        <w:rPr>
          <w:b/>
          <w:i w:val="0"/>
        </w:rPr>
        <w:t xml:space="preserve">Response. </w:t>
      </w:r>
      <w:r>
        <w:rPr>
          <w:b w:val="0"/>
          <w:i w:val="0"/>
        </w:rPr>
        <w:t>Dispute ¶23 as incomplete, quote the final sentence of §4.5, and direct the Court to the three missing reports and undisclosed January failure.</w:t>
      </w:r>
    </w:p>
    <w:p>
      <w:pPr>
        <w:pStyle w:val="Heading2"/>
      </w:pPr>
      <w:r>
        <w:t>C. Mitigation cannot be based on information Pinnacle concealed</w:t>
      </w:r>
    </w:p>
    <w:p>
      <w:pPr>
        <w:spacing w:after="120" w:line="264" w:lineRule="auto"/>
      </w:pPr>
      <w:r>
        <w:t>Section 7.4 limits mitigation to commercially reasonable steps under known circumstances and expressly provides that Greenfield had no obligation to discover a breach Pinnacle concealed or failed to disclose through required reports. LSA §7.4. Santos testified Greenfield relied on the reports, received none after October, and was effectively “flying blind” until the February 6 discovery. Santos Dep. 33–38, 45–51, 55–57.</w:t>
      </w:r>
    </w:p>
    <w:p>
      <w:pPr>
        <w:spacing w:after="120" w:line="264" w:lineRule="auto"/>
      </w:pPr>
      <w:r>
        <w:rPr>
          <w:b/>
          <w:i w:val="0"/>
        </w:rPr>
        <w:t xml:space="preserve">Response. </w:t>
      </w:r>
      <w:r>
        <w:rPr>
          <w:b w:val="0"/>
          <w:i w:val="0"/>
        </w:rPr>
        <w:t>Lead with §7.4’s allocation of risk, then use Holt’s report-suppression testimony and Santos’s reliance to show that Pinnacle prevented earlier mitigation. Reject any rule that lets the breaching party profit from concealment.</w:t>
      </w:r>
    </w:p>
    <w:p>
      <w:pPr>
        <w:pStyle w:val="Heading2"/>
      </w:pPr>
      <w:r>
        <w:t>D. Cap arithmetic is wrong even on Pinnacle’s premise</w:t>
      </w:r>
    </w:p>
    <w:p>
      <w:pPr>
        <w:spacing w:after="120" w:line="264" w:lineRule="auto"/>
      </w:pPr>
      <w:r>
        <w:t>Section 7.1 sets the cap at the greater of (a) fees paid in the prior 12 months or (b) $2 million. The motion and SUMF ¶43 use only $1.86 million, understating the contractual figure by $140,000. LSA §7.1. This mathematical correction is separate from the stronger argument that the gross-negligence exception makes the cap inapplicable.</w:t>
      </w:r>
    </w:p>
    <w:p>
      <w:pPr>
        <w:spacing w:after="120" w:line="264" w:lineRule="auto"/>
      </w:pPr>
      <w:r>
        <w:rPr>
          <w:b/>
          <w:i w:val="0"/>
        </w:rPr>
        <w:t xml:space="preserve">Response. </w:t>
      </w:r>
      <w:r>
        <w:rPr>
          <w:b w:val="0"/>
          <w:i w:val="0"/>
        </w:rPr>
        <w:t>Ask the Court to reject the requested $1.86 million ruling. State “if a cap applies” to avoid conceding the exception issues.</w:t>
      </w:r>
    </w:p>
    <w:p>
      <w:pPr>
        <w:pStyle w:val="Heading2"/>
      </w:pPr>
      <w:r>
        <w:t>E. The motion ignores §9.1 indemnity</w:t>
      </w:r>
    </w:p>
    <w:p>
      <w:pPr>
        <w:spacing w:after="120" w:line="264" w:lineRule="auto"/>
      </w:pPr>
      <w:r>
        <w:t>Section 9.1 obligates Pinnacle to defend, indemnify, and hold Greenfield harmless from losses arising from breach of §§4.1–4.6, including inventory damage, contamination losses, and reasonable attorneys’ fees. Section 7.2(a) excludes §9.1 indemnity from the §7.1 cap. LSA §§7.2(a), 9.1. The motion does not analyze this separate obligation and therefore does not carry its burden to obtain judgment on it.</w:t>
      </w:r>
    </w:p>
    <w:p>
      <w:pPr>
        <w:spacing w:after="120" w:line="264" w:lineRule="auto"/>
      </w:pPr>
      <w:r>
        <w:rPr>
          <w:b/>
          <w:i w:val="0"/>
        </w:rPr>
        <w:t xml:space="preserve">Response. </w:t>
      </w:r>
      <w:r>
        <w:rPr>
          <w:b w:val="0"/>
          <w:i w:val="0"/>
        </w:rPr>
        <w:t>Plead and brief §9.1 separately, link the losses to §4.2, and preserve attorneys’ fees. Argue that the express §7.2(a) exclusion permits the obligation to operate independently of the cap.</w:t>
      </w:r>
    </w:p>
    <w:p>
      <w:pPr>
        <w:pStyle w:val="Heading2"/>
      </w:pPr>
      <w:r>
        <w:t>F. Comparative fault does not dispose of the claims</w:t>
      </w:r>
    </w:p>
    <w:p>
      <w:pPr>
        <w:spacing w:after="120" w:line="264" w:lineRule="auto"/>
      </w:pPr>
      <w:r>
        <w:t>Pinnacle’s comparative/contributory-negligence theory does not defeat Greenfield’s contract claim. For the tort claim, O.C.G.A. §51-12-33 bars recovery only if Greenfield is 50% or more at fault, and the allocation is fact-bound. The evidence that Pinnacle withheld contractually required reports and notice makes summary judgment especially unsuitable. MSJ comparative-fault section; LSA §§4.2, 7.4; Holt Dep. 65–68.</w:t>
      </w:r>
    </w:p>
    <w:p>
      <w:pPr>
        <w:spacing w:after="120" w:line="264" w:lineRule="auto"/>
      </w:pPr>
      <w:r>
        <w:rPr>
          <w:b/>
          <w:i w:val="0"/>
        </w:rPr>
        <w:t xml:space="preserve">Response. </w:t>
      </w:r>
      <w:r>
        <w:rPr>
          <w:b w:val="0"/>
          <w:i w:val="0"/>
        </w:rPr>
        <w:t>Separate contract and tort in the opposition: argue legal inapplicability on contract and, alternatively, genuine factual disputes on knowledge, concealment, reasonableness, and percentage fault on negligence.</w:t>
      </w:r>
    </w:p>
    <w:p>
      <w:pPr>
        <w:pStyle w:val="Heading1"/>
      </w:pPr>
      <w:r>
        <w:t>IV. Record corrections and expert issues</w:t>
      </w:r>
    </w:p>
    <w:p>
      <w:pPr>
        <w:pStyle w:val="Heading2"/>
      </w:pPr>
      <w:r>
        <w:t>A. SUMF ¶31 mischaracterizes Santos</w:t>
      </w:r>
    </w:p>
    <w:p>
      <w:pPr>
        <w:spacing w:after="120" w:line="264" w:lineRule="auto"/>
      </w:pPr>
      <w:r>
        <w:t>Santos did not testify that quarterly inspections found compliant conditions. He said he visited approximately once per quarter for logistics coordination, was not conducting inspections, lacked HVAC expertise, knew of no HVAC issue before February 2023, and relied on monthly reports that stopped after October. Santos Dep. 24–29, 33–38, 45–51. His testimony supports concealment’s effectiveness—not the absence of a problem.</w:t>
      </w:r>
    </w:p>
    <w:p>
      <w:pPr>
        <w:spacing w:after="120" w:line="264" w:lineRule="auto"/>
      </w:pPr>
      <w:r>
        <w:rPr>
          <w:b/>
          <w:i w:val="0"/>
        </w:rPr>
        <w:t xml:space="preserve">Response. </w:t>
      </w:r>
      <w:r>
        <w:rPr>
          <w:b w:val="0"/>
          <w:i w:val="0"/>
        </w:rPr>
        <w:t>Dispute SUMF ¶31 with the complete transcript excerpts. Pair his reliance testimony with §4.5’s statement that inspections do not replace reporting.</w:t>
      </w:r>
    </w:p>
    <w:p>
      <w:pPr>
        <w:pStyle w:val="Heading2"/>
      </w:pPr>
      <w:r>
        <w:t>B. Target Dr. Ellington’s salvageability opinion</w:t>
      </w:r>
    </w:p>
    <w:p>
      <w:pPr>
        <w:spacing w:after="120" w:line="264" w:lineRule="auto"/>
      </w:pPr>
      <w:r>
        <w:t>Pinnacle relies on Dr. Marcus Ellington’s view that contaminated panels could have been salvaged. In deposition, he admitted he is not a mold-remediation specialist, lacks relevant certifications and prior qualification, did not review IICRC S520 or the relevant peer-reviewed wood-panel literature, and deferred the salvageability question to Greenfield’s industrial-hygiene expert, Dr. Anita Venkatesh. Ellington Dep. 77–85; Ellington Decl.; Venkatesh Expert Summary §5.5. The motion omits those limitations.</w:t>
      </w:r>
    </w:p>
    <w:p>
      <w:pPr>
        <w:spacing w:after="120" w:line="264" w:lineRule="auto"/>
      </w:pPr>
      <w:r>
        <w:rPr>
          <w:b/>
          <w:i w:val="0"/>
        </w:rPr>
        <w:t xml:space="preserve">Response. </w:t>
      </w:r>
      <w:r>
        <w:rPr>
          <w:b w:val="0"/>
          <w:i w:val="0"/>
        </w:rPr>
        <w:t>Bring a focused Daubert/Rule 702 challenge or motion in limine to the salvageability opinion and use the admissions at summary judgment. Do not seek wholesale exclusion of Ellington’s distinct economic work without a separate basis.</w:t>
      </w:r>
    </w:p>
    <w:p>
      <w:pPr>
        <w:pStyle w:val="Heading2"/>
      </w:pPr>
      <w:r>
        <w:t>C. Venkatesh supplies causation, contamination, and damages support</w:t>
      </w:r>
    </w:p>
    <w:p>
      <w:pPr>
        <w:spacing w:after="120" w:line="264" w:lineRule="auto"/>
      </w:pPr>
      <w:r>
        <w:t>Dr. Anita Venkatesh is Greenfield’s causation and contamination expert. Her summary ties prolonged high humidity to mold and panel damage, reports 72%–85% humidity, concludes the panels were not salvageable using IICRC S520 and other sources, and explains that timely reports and notice could have enabled mitigation. Venkatesh Expert Summary §§3.3, 5.3, 5.5, 5.8. Her economic validations include $4.7 million inventory, $385,000 remediation, and $1.15 million expedited manufacturing. Id. §§6.1–6.3.</w:t>
      </w:r>
    </w:p>
    <w:p>
      <w:pPr>
        <w:spacing w:after="120" w:line="264" w:lineRule="auto"/>
      </w:pPr>
      <w:r>
        <w:rPr>
          <w:b/>
          <w:i w:val="0"/>
        </w:rPr>
        <w:t xml:space="preserve">Response. </w:t>
      </w:r>
      <w:r>
        <w:rPr>
          <w:b w:val="0"/>
          <w:i w:val="0"/>
        </w:rPr>
        <w:t>Use her opinions to create, at minimum, triable disputes on causation, contamination, salvageability, and the reasonableness of mitigation. Ensure the declaration/report foundation is submitted in admissible form.</w:t>
      </w:r>
    </w:p>
    <w:p>
      <w:pPr>
        <w:pStyle w:val="Heading2"/>
      </w:pPr>
      <w:r>
        <w:t>D. Damages are disputed, not eliminated</w:t>
      </w:r>
    </w:p>
    <w:p>
      <w:pPr>
        <w:spacing w:after="120" w:line="264" w:lineRule="auto"/>
      </w:pPr>
      <w:r>
        <w:t>Greenfield claims approximately $7.3 million excluding attorneys’ fees: $4.7 million inventory, $385,000 remediation, $1.15 million expedited manufacturing, $890,000 lost profits, and $175,000 expert costs. SUMF ¶¶40–42; Venkatesh Expert Summary §§6.1–6.3; Ellington Decl. Pinnacle’s challenges may affect amount or category but do not justify judgment on liability; §7.3’s §4.2 carveout defeats the proposed categorical exclusion of lost profits and expedited manufacturing.</w:t>
      </w:r>
    </w:p>
    <w:p>
      <w:pPr>
        <w:spacing w:after="120" w:line="264" w:lineRule="auto"/>
      </w:pPr>
      <w:r>
        <w:rPr>
          <w:b/>
          <w:i w:val="0"/>
        </w:rPr>
        <w:t xml:space="preserve">Response. </w:t>
      </w:r>
      <w:r>
        <w:rPr>
          <w:b w:val="0"/>
          <w:i w:val="0"/>
        </w:rPr>
        <w:t>Present a component table, connect each item to breach and causation, preserve fee recovery under §9.1, and characterize any expert disagreement as a fact issue rather than an absence of evidence.</w:t>
      </w:r>
    </w:p>
    <w:p>
      <w:pPr>
        <w:pStyle w:val="Heading1"/>
      </w:pPr>
      <w:r>
        <w:t>V. Proposed opposition architecture</w:t>
      </w:r>
    </w:p>
    <w:p>
      <w:pPr>
        <w:pStyle w:val="ListNumber"/>
        <w:spacing w:after="160" w:line="280" w:lineRule="auto"/>
        <w:ind w:left="720" w:hanging="360"/>
        <w:keepLines/>
      </w:pPr>
      <w:r>
        <w:rPr>
          <w:b/>
          <w:i w:val="0"/>
        </w:rPr>
        <w:t xml:space="preserve">Rule 56 and independent denial grounds. </w:t>
      </w:r>
      <w:r>
        <w:rPr>
          <w:b w:val="0"/>
          <w:i w:val="0"/>
        </w:rPr>
        <w:t>Open with the Holt–Okafor credibility dispute, gross-negligence evidence, and §7.3’s §4.2 carveout. State expressly that each independently defeats all or part of the motion.</w:t>
      </w:r>
    </w:p>
    <w:p>
      <w:pPr>
        <w:pStyle w:val="ListNumber"/>
        <w:spacing w:after="160" w:line="280" w:lineRule="auto"/>
        <w:ind w:left="720" w:hanging="360"/>
        <w:keepLines/>
      </w:pPr>
      <w:r>
        <w:rPr>
          <w:b/>
          <w:i w:val="0"/>
        </w:rPr>
        <w:t xml:space="preserve">Correct contractual text. </w:t>
      </w:r>
      <w:r>
        <w:rPr>
          <w:b w:val="0"/>
          <w:i w:val="0"/>
        </w:rPr>
        <w:t>Place §§4.2, 4.5, 7.1–7.4, 9.1, and 11.7 in a short comparison showing the motion’s omissions and the complete language.</w:t>
      </w:r>
    </w:p>
    <w:p>
      <w:pPr>
        <w:pStyle w:val="ListNumber"/>
        <w:spacing w:after="160" w:line="280" w:lineRule="auto"/>
        <w:ind w:left="720" w:hanging="360"/>
        <w:keepLines/>
      </w:pPr>
      <w:r>
        <w:rPr>
          <w:b/>
          <w:i w:val="0"/>
        </w:rPr>
        <w:t xml:space="preserve">Chronology and response to SUMF. </w:t>
      </w:r>
      <w:r>
        <w:rPr>
          <w:b w:val="0"/>
          <w:i w:val="0"/>
        </w:rPr>
        <w:t>Use June, August, October, November–January, and January 18 events; dispute ¶¶23, 31, 43, and 45 with direct testimony and provisions.</w:t>
      </w:r>
    </w:p>
    <w:p>
      <w:pPr>
        <w:pStyle w:val="ListNumber"/>
        <w:spacing w:after="160" w:line="280" w:lineRule="auto"/>
        <w:ind w:left="720" w:hanging="360"/>
        <w:keepLines/>
      </w:pPr>
      <w:r>
        <w:rPr>
          <w:b/>
          <w:i w:val="0"/>
        </w:rPr>
        <w:t xml:space="preserve">Defense-by-defense analysis. </w:t>
      </w:r>
      <w:r>
        <w:rPr>
          <w:b w:val="0"/>
          <w:i w:val="0"/>
        </w:rPr>
        <w:t>Address force majeure, cap, waiver, mitigation, comparative fault, indemnity, and expert reliability separately so failure of one does not obscure another.</w:t>
      </w:r>
    </w:p>
    <w:p>
      <w:pPr>
        <w:pStyle w:val="ListNumber"/>
        <w:spacing w:after="160" w:line="280" w:lineRule="auto"/>
        <w:ind w:left="720" w:hanging="360"/>
        <w:keepLines/>
      </w:pPr>
      <w:r>
        <w:rPr>
          <w:b/>
          <w:i w:val="0"/>
        </w:rPr>
        <w:t xml:space="preserve">Relief. </w:t>
      </w:r>
      <w:r>
        <w:rPr>
          <w:b w:val="0"/>
          <w:i w:val="0"/>
        </w:rPr>
        <w:t>Request denial; alternatively, confine any ruling to undisputed categories, reject $1.86 million as contrary to §7.1, preserve §9.1 indemnity/fees, and reserve targeted Rule 702 relief.</w:t>
      </w:r>
    </w:p>
    <w:p>
      <w:pPr>
        <w:pStyle w:val="Heading1"/>
      </w:pPr>
      <w:r>
        <w:t>VI. Calibration, vulnerabilities, and record hygiene</w:t>
      </w:r>
    </w:p>
    <w:p>
      <w:pPr>
        <w:pStyle w:val="ListBullet"/>
        <w:spacing w:after="160" w:line="280" w:lineRule="auto"/>
        <w:ind w:left="720" w:hanging="360"/>
        <w:keepLines/>
      </w:pPr>
      <w:r>
        <w:rPr>
          <w:b/>
          <w:i w:val="0"/>
        </w:rPr>
        <w:t xml:space="preserve">Gross negligence is not established as a matter of law. </w:t>
      </w:r>
      <w:r>
        <w:rPr>
          <w:b w:val="0"/>
          <w:i w:val="0"/>
        </w:rPr>
        <w:t>The record supports a reasonable inference and therefore defeats summary judgment on the exception; characterize it as a jury question.</w:t>
      </w:r>
    </w:p>
    <w:p>
      <w:pPr>
        <w:pStyle w:val="ListBullet"/>
        <w:spacing w:after="160" w:line="280" w:lineRule="auto"/>
        <w:ind w:left="720" w:hanging="360"/>
        <w:keepLines/>
      </w:pPr>
      <w:r>
        <w:rPr>
          <w:b/>
          <w:i w:val="0"/>
        </w:rPr>
        <w:t xml:space="preserve">Force majeure may include extraordinary conditions. </w:t>
      </w:r>
      <w:r>
        <w:rPr>
          <w:b w:val="0"/>
          <w:i w:val="0"/>
        </w:rPr>
        <w:t>Greenfield’s stronger point is causal and procedural: internal mechanical failure, routine-range weather evidence, budget choices, and no 72-hour notice.</w:t>
      </w:r>
    </w:p>
    <w:p>
      <w:pPr>
        <w:pStyle w:val="ListBullet"/>
        <w:spacing w:after="160" w:line="280" w:lineRule="auto"/>
        <w:ind w:left="720" w:hanging="360"/>
        <w:keepLines/>
      </w:pPr>
      <w:r>
        <w:rPr>
          <w:b/>
          <w:i w:val="0"/>
        </w:rPr>
        <w:t xml:space="preserve">Inspection and mitigation remain jury themes. </w:t>
      </w:r>
      <w:r>
        <w:rPr>
          <w:b w:val="0"/>
          <w:i w:val="0"/>
        </w:rPr>
        <w:t>Do not ignore them; answer with §§4.5 and 7.4, Santos’s reliance, and the concealment evidence.</w:t>
      </w:r>
    </w:p>
    <w:p>
      <w:pPr>
        <w:pStyle w:val="ListBullet"/>
        <w:spacing w:after="160" w:line="280" w:lineRule="auto"/>
        <w:ind w:left="720" w:hanging="360"/>
        <w:keepLines/>
      </w:pPr>
      <w:r>
        <w:rPr>
          <w:b/>
          <w:i w:val="0"/>
        </w:rPr>
        <w:t xml:space="preserve">Expert-name inconsistencies should be cleaned up. </w:t>
      </w:r>
      <w:r>
        <w:rPr>
          <w:b w:val="0"/>
          <w:i w:val="0"/>
        </w:rPr>
        <w:t>The supplied expert summary identifies Dr. Anita Venkatesh although its filename says “subramanian”; Okafor also uses Subramanian, and the motion refers to Raymond Ellington while the declaration identifies Dr. Marcus Ellington. Cite the document title and full name consistently, and flag the motion’s errors only as record unreliability.</w:t>
      </w:r>
    </w:p>
    <w:p>
      <w:pPr>
        <w:pStyle w:val="ListBullet"/>
        <w:spacing w:after="160" w:line="280" w:lineRule="auto"/>
        <w:ind w:left="720" w:hanging="360"/>
        <w:keepLines/>
      </w:pPr>
      <w:r>
        <w:rPr>
          <w:b/>
          <w:i w:val="0"/>
        </w:rPr>
        <w:t xml:space="preserve">Closed-universe limits. </w:t>
      </w:r>
      <w:r>
        <w:rPr>
          <w:b w:val="0"/>
          <w:i w:val="0"/>
        </w:rPr>
        <w:t>This memorandum identifies arguments from the supplied record. Confirm controlling Eleventh Circuit/Georgia authority, local summary-judgment procedures, evidentiary form, and record pin cites before filing.</w:t>
      </w:r>
    </w:p>
    <w:p>
      <w:pPr>
        <w:pStyle w:val="Heading1"/>
      </w:pPr>
      <w:r>
        <w:t>Source key</w:t>
      </w:r>
    </w:p>
    <w:tbl>
      <w:tblPr>
        <w:tblW w:type="dxa" w:w="9360"/>
        <w:jc w:val="left"/>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700"/>
        <w:gridCol w:w="3300"/>
        <w:gridCol w:w="4360"/>
      </w:tblGrid>
      <w:tr>
        <w:trPr>
          <w:tblHeader w:val="true"/>
        </w:trPr>
        <w:tc>
          <w:tcPr>
            <w:tcW w:type="dxa" w:w="1700"/>
            <w:shd w:fill="F2F4F7"/>
            <w:tcMar>
              <w:top w:w="80" w:type="dxa"/>
              <w:start w:w="120" w:type="dxa"/>
              <w:bottom w:w="80" w:type="dxa"/>
              <w:end w:w="120" w:type="dxa"/>
            </w:tcMar>
          </w:tcPr>
          <w:p>
            <w:r>
              <w:rPr>
                <w:b/>
                <w:i w:val="0"/>
                <w:color w:val="1F4D78"/>
                <w:sz w:val="17"/>
              </w:rPr>
              <w:t>Short form</w:t>
            </w:r>
          </w:p>
        </w:tc>
        <w:tc>
          <w:tcPr>
            <w:tcW w:type="dxa" w:w="3300"/>
            <w:shd w:fill="F2F4F7"/>
            <w:tcMar>
              <w:top w:w="80" w:type="dxa"/>
              <w:start w:w="120" w:type="dxa"/>
              <w:bottom w:w="80" w:type="dxa"/>
              <w:end w:w="120" w:type="dxa"/>
            </w:tcMar>
          </w:tcPr>
          <w:p>
            <w:r>
              <w:rPr>
                <w:b/>
                <w:i w:val="0"/>
                <w:color w:val="1F4D78"/>
                <w:sz w:val="17"/>
              </w:rPr>
              <w:t>Source</w:t>
            </w:r>
          </w:p>
        </w:tc>
        <w:tc>
          <w:tcPr>
            <w:tcW w:type="dxa" w:w="4360"/>
            <w:shd w:fill="F2F4F7"/>
            <w:tcMar>
              <w:top w:w="80" w:type="dxa"/>
              <w:start w:w="120" w:type="dxa"/>
              <w:bottom w:w="80" w:type="dxa"/>
              <w:end w:w="120" w:type="dxa"/>
            </w:tcMar>
          </w:tcPr>
          <w:p>
            <w:r>
              <w:rPr>
                <w:b/>
                <w:i w:val="0"/>
                <w:color w:val="1F4D78"/>
                <w:sz w:val="17"/>
              </w:rPr>
              <w:t>Primary use</w:t>
            </w:r>
          </w:p>
        </w:tc>
      </w:tr>
      <w:tr>
        <w:trPr>
          <w:cantSplit/>
        </w:trPr>
        <w:tc>
          <w:tcPr>
            <w:tcW w:type="dxa" w:w="1700"/>
            <w:tcMar>
              <w:top w:w="80" w:type="dxa"/>
              <w:start w:w="120" w:type="dxa"/>
              <w:bottom w:w="80" w:type="dxa"/>
              <w:end w:w="120" w:type="dxa"/>
            </w:tcMar>
          </w:tcPr>
          <w:p>
            <w:r>
              <w:rPr>
                <w:b/>
                <w:i w:val="0"/>
                <w:sz w:val="17"/>
              </w:rPr>
              <w:t>LSA</w:t>
            </w:r>
          </w:p>
        </w:tc>
        <w:tc>
          <w:tcPr>
            <w:tcW w:type="dxa" w:w="3300"/>
            <w:tcMar>
              <w:top w:w="80" w:type="dxa"/>
              <w:start w:w="120" w:type="dxa"/>
              <w:bottom w:w="80" w:type="dxa"/>
              <w:end w:w="120" w:type="dxa"/>
            </w:tcMar>
          </w:tcPr>
          <w:p>
            <w:r>
              <w:rPr>
                <w:b w:val="0"/>
                <w:i w:val="0"/>
                <w:sz w:val="17"/>
              </w:rPr>
              <w:t>Logistics Services Agreement</w:t>
            </w:r>
          </w:p>
        </w:tc>
        <w:tc>
          <w:tcPr>
            <w:tcW w:type="dxa" w:w="4360"/>
            <w:tcMar>
              <w:top w:w="80" w:type="dxa"/>
              <w:start w:w="120" w:type="dxa"/>
              <w:bottom w:w="80" w:type="dxa"/>
              <w:end w:w="120" w:type="dxa"/>
            </w:tcMar>
          </w:tcPr>
          <w:p>
            <w:r>
              <w:rPr>
                <w:b w:val="0"/>
                <w:i w:val="0"/>
                <w:sz w:val="17"/>
              </w:rPr>
              <w:t>§§4.2, 4.5, 7.1–7.4, 9.1, 11.7</w:t>
            </w:r>
          </w:p>
        </w:tc>
      </w:tr>
      <w:tr>
        <w:trPr>
          <w:cantSplit/>
        </w:trPr>
        <w:tc>
          <w:tcPr>
            <w:tcW w:type="dxa" w:w="1700"/>
            <w:tcMar>
              <w:top w:w="80" w:type="dxa"/>
              <w:start w:w="120" w:type="dxa"/>
              <w:bottom w:w="80" w:type="dxa"/>
              <w:end w:w="120" w:type="dxa"/>
            </w:tcMar>
          </w:tcPr>
          <w:p>
            <w:r>
              <w:rPr>
                <w:b/>
                <w:i w:val="0"/>
                <w:sz w:val="17"/>
              </w:rPr>
              <w:t>MSJ</w:t>
            </w:r>
          </w:p>
        </w:tc>
        <w:tc>
          <w:tcPr>
            <w:tcW w:type="dxa" w:w="3300"/>
            <w:tcMar>
              <w:top w:w="80" w:type="dxa"/>
              <w:start w:w="120" w:type="dxa"/>
              <w:bottom w:w="80" w:type="dxa"/>
              <w:end w:w="120" w:type="dxa"/>
            </w:tcMar>
          </w:tcPr>
          <w:p>
            <w:r>
              <w:rPr>
                <w:b w:val="0"/>
                <w:i w:val="0"/>
                <w:sz w:val="17"/>
              </w:rPr>
              <w:t>Pinnacle Memorandum in Support of Summary Judgment</w:t>
            </w:r>
          </w:p>
        </w:tc>
        <w:tc>
          <w:tcPr>
            <w:tcW w:type="dxa" w:w="4360"/>
            <w:tcMar>
              <w:top w:w="80" w:type="dxa"/>
              <w:start w:w="120" w:type="dxa"/>
              <w:bottom w:w="80" w:type="dxa"/>
              <w:end w:w="120" w:type="dxa"/>
            </w:tcMar>
          </w:tcPr>
          <w:p>
            <w:r>
              <w:rPr>
                <w:b w:val="0"/>
                <w:i w:val="0"/>
                <w:sz w:val="17"/>
              </w:rPr>
              <w:t>Moving arguments, omissions, quoted provisions</w:t>
            </w:r>
          </w:p>
        </w:tc>
      </w:tr>
      <w:tr>
        <w:trPr>
          <w:cantSplit/>
        </w:trPr>
        <w:tc>
          <w:tcPr>
            <w:tcW w:type="dxa" w:w="1700"/>
            <w:tcMar>
              <w:top w:w="80" w:type="dxa"/>
              <w:start w:w="120" w:type="dxa"/>
              <w:bottom w:w="80" w:type="dxa"/>
              <w:end w:w="120" w:type="dxa"/>
            </w:tcMar>
          </w:tcPr>
          <w:p>
            <w:r>
              <w:rPr>
                <w:b/>
                <w:i w:val="0"/>
                <w:sz w:val="17"/>
              </w:rPr>
              <w:t>SUMF</w:t>
            </w:r>
          </w:p>
        </w:tc>
        <w:tc>
          <w:tcPr>
            <w:tcW w:type="dxa" w:w="3300"/>
            <w:tcMar>
              <w:top w:w="80" w:type="dxa"/>
              <w:start w:w="120" w:type="dxa"/>
              <w:bottom w:w="80" w:type="dxa"/>
              <w:end w:w="120" w:type="dxa"/>
            </w:tcMar>
          </w:tcPr>
          <w:p>
            <w:r>
              <w:rPr>
                <w:b w:val="0"/>
                <w:i w:val="0"/>
                <w:sz w:val="17"/>
              </w:rPr>
              <w:t>Pinnacle Statement of Undisputed Material Facts</w:t>
            </w:r>
          </w:p>
        </w:tc>
        <w:tc>
          <w:tcPr>
            <w:tcW w:type="dxa" w:w="4360"/>
            <w:tcMar>
              <w:top w:w="80" w:type="dxa"/>
              <w:start w:w="120" w:type="dxa"/>
              <w:bottom w:w="80" w:type="dxa"/>
              <w:end w:w="120" w:type="dxa"/>
            </w:tcMar>
          </w:tcPr>
          <w:p>
            <w:r>
              <w:rPr>
                <w:b w:val="0"/>
                <w:i w:val="0"/>
                <w:sz w:val="17"/>
              </w:rPr>
              <w:t>¶¶17–26, 31, 34–45</w:t>
            </w:r>
          </w:p>
        </w:tc>
      </w:tr>
      <w:tr>
        <w:trPr>
          <w:cantSplit/>
        </w:trPr>
        <w:tc>
          <w:tcPr>
            <w:tcW w:type="dxa" w:w="1700"/>
            <w:tcMar>
              <w:top w:w="80" w:type="dxa"/>
              <w:start w:w="120" w:type="dxa"/>
              <w:bottom w:w="80" w:type="dxa"/>
              <w:end w:w="120" w:type="dxa"/>
            </w:tcMar>
          </w:tcPr>
          <w:p>
            <w:r>
              <w:rPr>
                <w:b/>
                <w:i w:val="0"/>
                <w:sz w:val="17"/>
              </w:rPr>
              <w:t>Holt Dep.</w:t>
            </w:r>
          </w:p>
        </w:tc>
        <w:tc>
          <w:tcPr>
            <w:tcW w:type="dxa" w:w="3300"/>
            <w:tcMar>
              <w:top w:w="80" w:type="dxa"/>
              <w:start w:w="120" w:type="dxa"/>
              <w:bottom w:w="80" w:type="dxa"/>
              <w:end w:w="120" w:type="dxa"/>
            </w:tcMar>
          </w:tcPr>
          <w:p>
            <w:r>
              <w:rPr>
                <w:b w:val="0"/>
                <w:i w:val="0"/>
                <w:sz w:val="17"/>
              </w:rPr>
              <w:t>Derek Holt deposition excerpts</w:t>
            </w:r>
          </w:p>
        </w:tc>
        <w:tc>
          <w:tcPr>
            <w:tcW w:type="dxa" w:w="4360"/>
            <w:tcMar>
              <w:top w:w="80" w:type="dxa"/>
              <w:start w:w="120" w:type="dxa"/>
              <w:bottom w:w="80" w:type="dxa"/>
              <w:end w:w="120" w:type="dxa"/>
            </w:tcMar>
          </w:tcPr>
          <w:p>
            <w:r>
              <w:rPr>
                <w:b w:val="0"/>
                <w:i w:val="0"/>
                <w:sz w:val="17"/>
              </w:rPr>
              <w:t>HVAC chronology, budget email, reports, notice</w:t>
            </w:r>
          </w:p>
        </w:tc>
      </w:tr>
      <w:tr>
        <w:trPr>
          <w:cantSplit/>
        </w:trPr>
        <w:tc>
          <w:tcPr>
            <w:tcW w:type="dxa" w:w="1700"/>
            <w:tcMar>
              <w:top w:w="80" w:type="dxa"/>
              <w:start w:w="120" w:type="dxa"/>
              <w:bottom w:w="80" w:type="dxa"/>
              <w:end w:w="120" w:type="dxa"/>
            </w:tcMar>
          </w:tcPr>
          <w:p>
            <w:r>
              <w:rPr>
                <w:b/>
                <w:i w:val="0"/>
                <w:sz w:val="17"/>
              </w:rPr>
              <w:t>Okafor Decl.</w:t>
            </w:r>
          </w:p>
        </w:tc>
        <w:tc>
          <w:tcPr>
            <w:tcW w:type="dxa" w:w="3300"/>
            <w:tcMar>
              <w:top w:w="80" w:type="dxa"/>
              <w:start w:w="120" w:type="dxa"/>
              <w:bottom w:w="80" w:type="dxa"/>
              <w:end w:w="120" w:type="dxa"/>
            </w:tcMar>
          </w:tcPr>
          <w:p>
            <w:r>
              <w:rPr>
                <w:b w:val="0"/>
                <w:i w:val="0"/>
                <w:sz w:val="17"/>
              </w:rPr>
              <w:t>Sandra Okafor declaration</w:t>
            </w:r>
          </w:p>
        </w:tc>
        <w:tc>
          <w:tcPr>
            <w:tcW w:type="dxa" w:w="4360"/>
            <w:tcMar>
              <w:top w:w="80" w:type="dxa"/>
              <w:start w:w="120" w:type="dxa"/>
              <w:bottom w:w="80" w:type="dxa"/>
              <w:end w:w="120" w:type="dxa"/>
            </w:tcMar>
          </w:tcPr>
          <w:p>
            <w:r>
              <w:rPr>
                <w:b w:val="0"/>
                <w:i w:val="0"/>
                <w:sz w:val="17"/>
              </w:rPr>
              <w:t>Report-instruction and failure account</w:t>
            </w:r>
          </w:p>
        </w:tc>
      </w:tr>
      <w:tr>
        <w:trPr>
          <w:cantSplit/>
        </w:trPr>
        <w:tc>
          <w:tcPr>
            <w:tcW w:type="dxa" w:w="1700"/>
            <w:tcMar>
              <w:top w:w="80" w:type="dxa"/>
              <w:start w:w="120" w:type="dxa"/>
              <w:bottom w:w="80" w:type="dxa"/>
              <w:end w:w="120" w:type="dxa"/>
            </w:tcMar>
          </w:tcPr>
          <w:p>
            <w:r>
              <w:rPr>
                <w:b/>
                <w:i w:val="0"/>
                <w:sz w:val="17"/>
              </w:rPr>
              <w:t>Santos Dep.</w:t>
            </w:r>
          </w:p>
        </w:tc>
        <w:tc>
          <w:tcPr>
            <w:tcW w:type="dxa" w:w="3300"/>
            <w:tcMar>
              <w:top w:w="80" w:type="dxa"/>
              <w:start w:w="120" w:type="dxa"/>
              <w:bottom w:w="80" w:type="dxa"/>
              <w:end w:w="120" w:type="dxa"/>
            </w:tcMar>
          </w:tcPr>
          <w:p>
            <w:r>
              <w:rPr>
                <w:b w:val="0"/>
                <w:i w:val="0"/>
                <w:sz w:val="17"/>
              </w:rPr>
              <w:t>Miguel Santos deposition excerpts</w:t>
            </w:r>
          </w:p>
        </w:tc>
        <w:tc>
          <w:tcPr>
            <w:tcW w:type="dxa" w:w="4360"/>
            <w:tcMar>
              <w:top w:w="80" w:type="dxa"/>
              <w:start w:w="120" w:type="dxa"/>
              <w:bottom w:w="80" w:type="dxa"/>
              <w:end w:w="120" w:type="dxa"/>
            </w:tcMar>
          </w:tcPr>
          <w:p>
            <w:r>
              <w:rPr>
                <w:b w:val="0"/>
                <w:i w:val="0"/>
                <w:sz w:val="17"/>
              </w:rPr>
              <w:t>Visits, reliance, missing reports, discovery</w:t>
            </w:r>
          </w:p>
        </w:tc>
      </w:tr>
      <w:tr>
        <w:trPr>
          <w:cantSplit/>
        </w:trPr>
        <w:tc>
          <w:tcPr>
            <w:tcW w:type="dxa" w:w="1700"/>
            <w:tcMar>
              <w:top w:w="80" w:type="dxa"/>
              <w:start w:w="120" w:type="dxa"/>
              <w:bottom w:w="80" w:type="dxa"/>
              <w:end w:w="120" w:type="dxa"/>
            </w:tcMar>
          </w:tcPr>
          <w:p>
            <w:r>
              <w:rPr>
                <w:b/>
                <w:i w:val="0"/>
                <w:sz w:val="17"/>
              </w:rPr>
              <w:t>Venkatesh Summary</w:t>
            </w:r>
          </w:p>
        </w:tc>
        <w:tc>
          <w:tcPr>
            <w:tcW w:type="dxa" w:w="3300"/>
            <w:tcMar>
              <w:top w:w="80" w:type="dxa"/>
              <w:start w:w="120" w:type="dxa"/>
              <w:bottom w:w="80" w:type="dxa"/>
              <w:end w:w="120" w:type="dxa"/>
            </w:tcMar>
          </w:tcPr>
          <w:p>
            <w:r>
              <w:rPr>
                <w:b w:val="0"/>
                <w:i w:val="0"/>
                <w:sz w:val="17"/>
              </w:rPr>
              <w:t>Dr. Anita Venkatesh expert summary</w:t>
            </w:r>
          </w:p>
        </w:tc>
        <w:tc>
          <w:tcPr>
            <w:tcW w:type="dxa" w:w="4360"/>
            <w:tcMar>
              <w:top w:w="80" w:type="dxa"/>
              <w:start w:w="120" w:type="dxa"/>
              <w:bottom w:w="80" w:type="dxa"/>
              <w:end w:w="120" w:type="dxa"/>
            </w:tcMar>
          </w:tcPr>
          <w:p>
            <w:r>
              <w:rPr>
                <w:b w:val="0"/>
                <w:i w:val="0"/>
                <w:sz w:val="17"/>
              </w:rPr>
              <w:t>Humidity, causation, salvageability, damages</w:t>
            </w:r>
          </w:p>
        </w:tc>
      </w:tr>
      <w:tr>
        <w:trPr>
          <w:cantSplit/>
        </w:trPr>
        <w:tc>
          <w:tcPr>
            <w:tcW w:type="dxa" w:w="1700"/>
            <w:tcMar>
              <w:top w:w="80" w:type="dxa"/>
              <w:start w:w="120" w:type="dxa"/>
              <w:bottom w:w="80" w:type="dxa"/>
              <w:end w:w="120" w:type="dxa"/>
            </w:tcMar>
          </w:tcPr>
          <w:p>
            <w:r>
              <w:rPr>
                <w:b/>
                <w:i w:val="0"/>
                <w:sz w:val="17"/>
              </w:rPr>
              <w:t>Ellington Dep./Decl.</w:t>
            </w:r>
          </w:p>
        </w:tc>
        <w:tc>
          <w:tcPr>
            <w:tcW w:type="dxa" w:w="3300"/>
            <w:tcMar>
              <w:top w:w="80" w:type="dxa"/>
              <w:start w:w="120" w:type="dxa"/>
              <w:bottom w:w="80" w:type="dxa"/>
              <w:end w:w="120" w:type="dxa"/>
            </w:tcMar>
          </w:tcPr>
          <w:p>
            <w:r>
              <w:rPr>
                <w:b w:val="0"/>
                <w:i w:val="0"/>
                <w:sz w:val="17"/>
              </w:rPr>
              <w:t>Dr. Marcus Ellington deposition excerpts and declaration</w:t>
            </w:r>
          </w:p>
        </w:tc>
        <w:tc>
          <w:tcPr>
            <w:tcW w:type="dxa" w:w="4360"/>
            <w:tcMar>
              <w:top w:w="80" w:type="dxa"/>
              <w:start w:w="120" w:type="dxa"/>
              <w:bottom w:w="80" w:type="dxa"/>
              <w:end w:w="120" w:type="dxa"/>
            </w:tcMar>
          </w:tcPr>
          <w:p>
            <w:r>
              <w:rPr>
                <w:b w:val="0"/>
                <w:i w:val="0"/>
                <w:sz w:val="17"/>
              </w:rPr>
              <w:t>Damages/mitigation and salvageability limitations</w:t>
            </w:r>
          </w:p>
        </w:tc>
      </w:tr>
    </w:tbl>
    <w:p/>
    <w:tbl>
      <w:tblPr>
        <w:tblW w:type="dxa" w:w="9360"/>
        <w:jc w:val="left"/>
        <w:tblLayout w:type="fixed"/>
        <w:tblLook w:firstColumn="1" w:firstRow="1" w:lastColumn="0" w:lastRow="0" w:noHBand="0" w:noVBand="1" w:val="04A0"/>
        <w:tblBorders>
          <w:top w:val="single" w:sz="4" w:space="0" w:color="F2F4F7"/>
          <w:left w:val="single" w:sz="4" w:space="0" w:color="F2F4F7"/>
          <w:bottom w:val="single" w:sz="4" w:space="0" w:color="F2F4F7"/>
          <w:right w:val="single" w:sz="4" w:space="0" w:color="F2F4F7"/>
          <w:insideH w:val="single" w:sz="4" w:space="0" w:color="F2F4F7"/>
          <w:insideV w:val="single" w:sz="4" w:space="0" w:color="F2F4F7"/>
        </w:tblBorders>
        <w:tblInd w:w="120" w:type="dxa"/>
      </w:tblPr>
      <w:tblGrid>
        <w:gridCol w:w="9360"/>
      </w:tblGrid>
      <w:tr>
        <w:trPr>
          <w:cantSplit/>
        </w:trPr>
        <w:tc>
          <w:tcPr>
            <w:tcW w:type="dxa" w:w="9360"/>
            <w:shd w:fill="F2F4F7"/>
            <w:tcMar>
              <w:top w:w="120" w:type="dxa"/>
              <w:start w:w="160" w:type="dxa"/>
              <w:bottom w:w="120" w:type="dxa"/>
              <w:end w:w="160" w:type="dxa"/>
            </w:tcMar>
          </w:tcPr>
          <w:p>
            <w:r>
              <w:rPr>
                <w:b/>
                <w:i w:val="0"/>
                <w:color w:val="1F4D78"/>
                <w:sz w:val="20"/>
              </w:rPr>
              <w:t xml:space="preserve">Assessment status.  </w:t>
            </w:r>
            <w:r>
              <w:rPr>
                <w:b w:val="0"/>
                <w:i w:val="0"/>
                <w:sz w:val="20"/>
              </w:rPr>
              <w:t>Prepared from the nine supplied benchmark record files. This is preliminary opposition analysis and a criterion-level benchmark deliverable—not a judicial finding, official Harvey score, or substitute for filing-specific legal research and counsel review.</w:t>
            </w:r>
          </w:p>
        </w:tc>
      </w:tr>
    </w:tbl>
    <w:p>
      <w:pPr>
        <w:spacing w:after="20"/>
      </w:pPr>
    </w:p>
    <w:sectPr w:rsidR="00FC693F" w:rsidRPr="0006063C" w:rsidSect="00034616">
      <w:headerReference w:type="default" r:id="rId9"/>
      <w:headerReference w:type="even" r:id="rId10"/>
      <w:footerReference w:type="default" r:id="rId11"/>
      <w:footerReference w:type="even" r:id="rId12"/>
      <w:pgSz w:w="12240" w:h="15840"/>
      <w:pgMar w:top="1440" w:right="1440" w:bottom="165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67085"/>
        <w:sz w:val="16"/>
      </w:rPr>
      <w:t xml:space="preserve">Greenfield Modular Homes, Inc. v. Pinnacle Supply Chain Solutions, LLC  •  5:23-cv-00412-MTT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67085"/>
        <w:sz w:val="16"/>
      </w:rPr>
      <w:t xml:space="preserve">Greenfield Modular Homes, Inc. v. Pinnacle Supply Chain Solutions, LLC  •  5:23-cv-00412-MTT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667085"/>
        <w:sz w:val="16"/>
      </w:rPr>
      <w:t>PRIVILEGED &amp; CONFIDENTIAL  |  ATTORNEY WORK PRODUCT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667085"/>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182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