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i w:val="0"/>
          <w:sz w:val="46"/>
        </w:rPr>
        <w:t>Deposition Outline: Thomas Whitford</w:t>
      </w:r>
    </w:p>
    <w:p>
      <w:pPr>
        <w:pStyle w:val="Subtitle"/>
      </w:pPr>
      <w:r>
        <w:rPr>
          <w:rFonts w:ascii="Calibri" w:hAnsi="Calibri"/>
          <w:b w:val="0"/>
          <w:i w:val="0"/>
          <w:color w:val="667085"/>
          <w:sz w:val="26"/>
        </w:rPr>
        <w:t>Discrimination and retaliation - lock-in, comparator, impeachment, and decision-path examination</w:t>
      </w:r>
    </w:p>
    <w:p>
      <w:pPr>
        <w:spacing w:after="40"/>
      </w:pPr>
      <w:r>
        <w:rPr>
          <w:rFonts w:ascii="Calibri" w:hAnsi="Calibri"/>
          <w:b/>
          <w:i w:val="0"/>
          <w:color w:val="667085"/>
          <w:sz w:val="20"/>
        </w:rPr>
        <w:t xml:space="preserve">Deponent: </w:t>
      </w:r>
      <w:r>
        <w:rPr>
          <w:rFonts w:ascii="Calibri" w:hAnsi="Calibri"/>
          <w:b/>
          <w:i w:val="0"/>
          <w:sz w:val="20"/>
        </w:rPr>
        <w:t>Thomas Whitford, Regional President, Southwest Division</w:t>
      </w:r>
    </w:p>
    <w:p>
      <w:pPr>
        <w:spacing w:after="40"/>
      </w:pPr>
      <w:r>
        <w:rPr>
          <w:rFonts w:ascii="Calibri" w:hAnsi="Calibri"/>
          <w:b/>
          <w:i w:val="0"/>
          <w:color w:val="667085"/>
          <w:sz w:val="20"/>
        </w:rPr>
        <w:t xml:space="preserve">Case: </w:t>
      </w:r>
      <w:r>
        <w:rPr>
          <w:rFonts w:ascii="Calibri" w:hAnsi="Calibri"/>
          <w:b/>
          <w:i w:val="0"/>
          <w:sz w:val="20"/>
        </w:rPr>
        <w:t>Delgado-Reyes v. Ridgeline National Bank</w:t>
      </w:r>
    </w:p>
    <w:p>
      <w:pPr>
        <w:spacing w:after="40"/>
      </w:pPr>
      <w:r>
        <w:rPr>
          <w:rFonts w:ascii="Calibri" w:hAnsi="Calibri"/>
          <w:b/>
          <w:i w:val="0"/>
          <w:color w:val="667085"/>
          <w:sz w:val="20"/>
        </w:rPr>
        <w:t xml:space="preserve">Examining party: </w:t>
      </w:r>
      <w:r>
        <w:rPr>
          <w:rFonts w:ascii="Calibri" w:hAnsi="Calibri"/>
          <w:b w:val="0"/>
          <w:i w:val="0"/>
          <w:sz w:val="20"/>
        </w:rPr>
        <w:t>Plaintiff Mariana Delgado-Reyes</w:t>
      </w:r>
    </w:p>
    <w:p>
      <w:pPr>
        <w:spacing w:after="40"/>
      </w:pPr>
      <w:r>
        <w:rPr>
          <w:rFonts w:ascii="Calibri" w:hAnsi="Calibri"/>
          <w:b/>
          <w:i w:val="0"/>
          <w:color w:val="667085"/>
          <w:sz w:val="20"/>
        </w:rPr>
        <w:t xml:space="preserve">Purpose: </w:t>
      </w:r>
      <w:r>
        <w:rPr>
          <w:rFonts w:ascii="Calibri" w:hAnsi="Calibri"/>
          <w:b w:val="0"/>
          <w:i w:val="0"/>
          <w:sz w:val="20"/>
        </w:rPr>
        <w:t>Discrimination, retaliation, pretext, cat's paw, punitive and compensatory damages</w:t>
      </w:r>
    </w:p>
    <w:p>
      <w:pPr>
        <w:spacing w:after="40"/>
      </w:pPr>
      <w:r>
        <w:rPr>
          <w:rFonts w:ascii="Calibri" w:hAnsi="Calibri"/>
          <w:b/>
          <w:i w:val="0"/>
          <w:color w:val="667085"/>
          <w:sz w:val="20"/>
        </w:rPr>
        <w:t xml:space="preserve">Prepared: </w:t>
      </w:r>
      <w:r>
        <w:rPr>
          <w:rFonts w:ascii="Calibri" w:hAnsi="Calibri"/>
          <w:b w:val="0"/>
          <w:i w:val="0"/>
          <w:sz w:val="20"/>
        </w:rPr>
        <w:t>August 10, 2026 | Closed-universe benchmark record</w:t>
      </w:r>
    </w:p>
    <w:p>
      <w:pPr>
        <w:pStyle w:val="Heading1"/>
      </w:pPr>
      <w:r>
        <w:t>Examiner plan</w:t>
      </w:r>
    </w:p>
    <w:p>
      <w:pPr>
        <w:pStyle w:val="StrategyNote"/>
        <w:keepLines/>
      </w:pPr>
      <w:r>
        <w:rPr>
          <w:rFonts w:ascii="Calibri" w:hAnsi="Calibri"/>
          <w:b/>
          <w:i w:val="0"/>
          <w:color w:val="1F4D78"/>
          <w:sz w:val="19"/>
        </w:rPr>
        <w:t xml:space="preserve">Order: </w:t>
      </w:r>
      <w:r>
        <w:rPr>
          <w:rFonts w:ascii="Calibri" w:hAnsi="Calibri"/>
          <w:b w:val="0"/>
          <w:i w:val="0"/>
          <w:color w:val="667085"/>
          <w:sz w:val="19"/>
        </w:rPr>
        <w:t>Begin with neutral background and authority; establish policy/training and the pre-complaint record; obtain unassisted testimony about the complaint, review, PIP, comparators, and termination; then use documents in escalating order. Save the February 18 email until Whitford is locked into his explanation of motive and timing.</w:t>
      </w:r>
    </w:p>
    <w:p>
      <w:pPr>
        <w:pStyle w:val="StrategyNote"/>
        <w:keepLines/>
      </w:pPr>
      <w:r>
        <w:rPr>
          <w:rFonts w:ascii="Calibri" w:hAnsi="Calibri"/>
          <w:b/>
          <w:i w:val="0"/>
          <w:color w:val="1F4D78"/>
          <w:sz w:val="19"/>
        </w:rPr>
        <w:t xml:space="preserve">Question form: </w:t>
      </w:r>
      <w:r>
        <w:rPr>
          <w:rFonts w:ascii="Calibri" w:hAnsi="Calibri"/>
          <w:b w:val="0"/>
          <w:i w:val="0"/>
          <w:color w:val="667085"/>
          <w:sz w:val="19"/>
        </w:rPr>
        <w:t>Use open-ended questions for background and narrative explanations. Shift to short leading questions to authenticate documents, fix dates, close off alternative reasons, and establish comparator and policy facts. Ask one fact per question. Follow every 'I don't recall' with document, custodian, search, and absence-of-record questions.</w:t>
      </w:r>
    </w:p>
    <w:p>
      <w:pPr>
        <w:pStyle w:val="StrategyNote"/>
        <w:keepLines/>
      </w:pPr>
      <w:r>
        <w:rPr>
          <w:rFonts w:ascii="Calibri" w:hAnsi="Calibri"/>
          <w:b/>
          <w:i w:val="0"/>
          <w:color w:val="1F4D78"/>
          <w:sz w:val="19"/>
        </w:rPr>
        <w:t xml:space="preserve">Core themes: </w:t>
      </w:r>
      <w:r>
        <w:rPr>
          <w:rFonts w:ascii="Calibri" w:hAnsi="Calibri"/>
          <w:b w:val="0"/>
          <w:i w:val="0"/>
          <w:color w:val="667085"/>
          <w:sz w:val="19"/>
        </w:rPr>
        <w:t>Complaint -&gt; downgraded review (28 days) -&gt; PIP (43 days) -&gt; termination (65 days); performance grounds contradicted by bank records; white comparators treated better; PIP ended March 21 but termination occurred March 14; required CHRO/GC approval and independent review are absent.</w:t>
      </w:r>
    </w:p>
    <w:p>
      <w:pPr>
        <w:pStyle w:val="Heading1"/>
      </w:pPr>
      <w:r>
        <w:t>Key chronology</w:t>
      </w:r>
    </w:p>
    <w:tbl>
      <w:tblPr>
        <w:tblW w:type="dxa" w:w="9360"/>
        <w:jc w:val="left"/>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Ind w:w="120" w:type="dxa"/>
      </w:tblPr>
      <w:tblGrid>
        <w:gridCol w:w="1400"/>
        <w:gridCol w:w="4300"/>
        <w:gridCol w:w="3660"/>
      </w:tblGrid>
      <w:tr>
        <w:trPr>
          <w:tblHeader w:val="true"/>
        </w:trPr>
        <w:tc>
          <w:tcPr>
            <w:tcW w:type="dxa" w:w="1400"/>
            <w:shd w:fill="E8EEF5"/>
            <w:tcMar>
              <w:top w:w="80" w:type="dxa"/>
              <w:bottom w:w="80" w:type="dxa"/>
              <w:start w:w="120" w:type="dxa"/>
              <w:end w:w="120" w:type="dxa"/>
            </w:tcMar>
            <w:vAlign w:val="center"/>
          </w:tcPr>
          <w:p>
            <w:r>
              <w:rPr>
                <w:rFonts w:ascii="Calibri" w:hAnsi="Calibri"/>
                <w:b/>
                <w:i w:val="0"/>
                <w:color w:val="1F4D78"/>
                <w:sz w:val="17"/>
              </w:rPr>
              <w:t>Date</w:t>
            </w:r>
          </w:p>
        </w:tc>
        <w:tc>
          <w:tcPr>
            <w:tcW w:type="dxa" w:w="4300"/>
            <w:shd w:fill="E8EEF5"/>
            <w:tcMar>
              <w:top w:w="80" w:type="dxa"/>
              <w:bottom w:w="80" w:type="dxa"/>
              <w:start w:w="120" w:type="dxa"/>
              <w:end w:w="120" w:type="dxa"/>
            </w:tcMar>
            <w:vAlign w:val="center"/>
          </w:tcPr>
          <w:p>
            <w:r>
              <w:rPr>
                <w:rFonts w:ascii="Calibri" w:hAnsi="Calibri"/>
                <w:b/>
                <w:i w:val="0"/>
                <w:color w:val="1F4D78"/>
                <w:sz w:val="17"/>
              </w:rPr>
              <w:t>Event</w:t>
            </w:r>
          </w:p>
        </w:tc>
        <w:tc>
          <w:tcPr>
            <w:tcW w:type="dxa" w:w="3660"/>
            <w:shd w:fill="E8EEF5"/>
            <w:tcMar>
              <w:top w:w="80" w:type="dxa"/>
              <w:bottom w:w="80" w:type="dxa"/>
              <w:start w:w="120" w:type="dxa"/>
              <w:end w:w="120" w:type="dxa"/>
            </w:tcMar>
            <w:vAlign w:val="center"/>
          </w:tcPr>
          <w:p>
            <w:r>
              <w:rPr>
                <w:rFonts w:ascii="Calibri" w:hAnsi="Calibri"/>
                <w:b/>
                <w:i w:val="0"/>
                <w:color w:val="1F4D78"/>
                <w:sz w:val="17"/>
              </w:rPr>
              <w:t>Use</w:t>
            </w:r>
          </w:p>
        </w:tc>
      </w:tr>
      <w:tr>
        <w:trPr>
          <w:cantSplit/>
        </w:trPr>
        <w:tc>
          <w:tcPr>
            <w:tcW w:type="dxa" w:w="1400"/>
            <w:tcMar>
              <w:top w:w="80" w:type="dxa"/>
              <w:bottom w:w="80" w:type="dxa"/>
              <w:start w:w="120" w:type="dxa"/>
              <w:end w:w="120" w:type="dxa"/>
            </w:tcMar>
            <w:vAlign w:val="center"/>
          </w:tcPr>
          <w:p>
            <w:r>
              <w:rPr>
                <w:rFonts w:ascii="Calibri" w:hAnsi="Calibri"/>
                <w:b/>
                <w:i w:val="0"/>
                <w:sz w:val="17"/>
              </w:rPr>
              <w:t>Jan. 8, 2024</w:t>
            </w:r>
          </w:p>
        </w:tc>
        <w:tc>
          <w:tcPr>
            <w:tcW w:type="dxa" w:w="4300"/>
            <w:tcMar>
              <w:top w:w="80" w:type="dxa"/>
              <w:bottom w:w="80" w:type="dxa"/>
              <w:start w:w="120" w:type="dxa"/>
              <w:end w:w="120" w:type="dxa"/>
            </w:tcMar>
            <w:vAlign w:val="center"/>
          </w:tcPr>
          <w:p>
            <w:r>
              <w:rPr>
                <w:rFonts w:ascii="Calibri" w:hAnsi="Calibri"/>
                <w:b w:val="0"/>
                <w:i w:val="0"/>
                <w:sz w:val="17"/>
              </w:rPr>
              <w:t>Delgado-Reyes files written national-origin complaint</w:t>
            </w:r>
          </w:p>
        </w:tc>
        <w:tc>
          <w:tcPr>
            <w:tcW w:type="dxa" w:w="3660"/>
            <w:tcMar>
              <w:top w:w="80" w:type="dxa"/>
              <w:bottom w:w="80" w:type="dxa"/>
              <w:start w:w="120" w:type="dxa"/>
              <w:end w:w="120" w:type="dxa"/>
            </w:tcMar>
            <w:vAlign w:val="center"/>
          </w:tcPr>
          <w:p>
            <w:r>
              <w:rPr>
                <w:rFonts w:ascii="Calibri" w:hAnsi="Calibri"/>
                <w:b w:val="0"/>
                <w:i w:val="0"/>
                <w:sz w:val="17"/>
              </w:rPr>
              <w:t>Protected activity; start of 90-day safeguard</w:t>
            </w:r>
          </w:p>
        </w:tc>
      </w:tr>
      <w:tr>
        <w:trPr>
          <w:cantSplit/>
        </w:trPr>
        <w:tc>
          <w:tcPr>
            <w:tcW w:type="dxa" w:w="1400"/>
            <w:tcMar>
              <w:top w:w="80" w:type="dxa"/>
              <w:bottom w:w="80" w:type="dxa"/>
              <w:start w:w="120" w:type="dxa"/>
              <w:end w:w="120" w:type="dxa"/>
            </w:tcMar>
            <w:vAlign w:val="center"/>
          </w:tcPr>
          <w:p>
            <w:r>
              <w:rPr>
                <w:rFonts w:ascii="Calibri" w:hAnsi="Calibri"/>
                <w:b/>
                <w:i w:val="0"/>
                <w:sz w:val="17"/>
              </w:rPr>
              <w:t>Feb. 5, 2024</w:t>
            </w:r>
          </w:p>
        </w:tc>
        <w:tc>
          <w:tcPr>
            <w:tcW w:type="dxa" w:w="4300"/>
            <w:tcMar>
              <w:top w:w="80" w:type="dxa"/>
              <w:bottom w:w="80" w:type="dxa"/>
              <w:start w:w="120" w:type="dxa"/>
              <w:end w:w="120" w:type="dxa"/>
            </w:tcMar>
            <w:vAlign w:val="center"/>
          </w:tcPr>
          <w:p>
            <w:r>
              <w:rPr>
                <w:rFonts w:ascii="Calibri" w:hAnsi="Calibri"/>
                <w:b w:val="0"/>
                <w:i w:val="0"/>
                <w:sz w:val="17"/>
              </w:rPr>
              <w:t>Whitford finalizes Meets Expectations review</w:t>
            </w:r>
          </w:p>
        </w:tc>
        <w:tc>
          <w:tcPr>
            <w:tcW w:type="dxa" w:w="3660"/>
            <w:tcMar>
              <w:top w:w="80" w:type="dxa"/>
              <w:bottom w:w="80" w:type="dxa"/>
              <w:start w:w="120" w:type="dxa"/>
              <w:end w:w="120" w:type="dxa"/>
            </w:tcMar>
            <w:vAlign w:val="center"/>
          </w:tcPr>
          <w:p>
            <w:r>
              <w:rPr>
                <w:rFonts w:ascii="Calibri" w:hAnsi="Calibri"/>
                <w:b w:val="0"/>
                <w:i w:val="0"/>
                <w:sz w:val="17"/>
              </w:rPr>
              <w:t>First adverse action; drafting timing and shift from prior record</w:t>
            </w:r>
          </w:p>
        </w:tc>
      </w:tr>
      <w:tr>
        <w:trPr>
          <w:cantSplit/>
        </w:trPr>
        <w:tc>
          <w:tcPr>
            <w:tcW w:type="dxa" w:w="1400"/>
            <w:tcMar>
              <w:top w:w="80" w:type="dxa"/>
              <w:bottom w:w="80" w:type="dxa"/>
              <w:start w:w="120" w:type="dxa"/>
              <w:end w:w="120" w:type="dxa"/>
            </w:tcMar>
            <w:vAlign w:val="center"/>
          </w:tcPr>
          <w:p>
            <w:r>
              <w:rPr>
                <w:rFonts w:ascii="Calibri" w:hAnsi="Calibri"/>
                <w:b/>
                <w:i w:val="0"/>
                <w:sz w:val="17"/>
              </w:rPr>
              <w:t>Feb. 18, 2024</w:t>
            </w:r>
          </w:p>
        </w:tc>
        <w:tc>
          <w:tcPr>
            <w:tcW w:type="dxa" w:w="4300"/>
            <w:tcMar>
              <w:top w:w="80" w:type="dxa"/>
              <w:bottom w:w="80" w:type="dxa"/>
              <w:start w:w="120" w:type="dxa"/>
              <w:end w:w="120" w:type="dxa"/>
            </w:tcMar>
            <w:vAlign w:val="center"/>
          </w:tcPr>
          <w:p>
            <w:r>
              <w:rPr>
                <w:rFonts w:ascii="Calibri" w:hAnsi="Calibri"/>
                <w:b w:val="0"/>
                <w:i w:val="0"/>
                <w:sz w:val="17"/>
              </w:rPr>
              <w:t>Whitford emails Cho: 'Between the complaint and her numbers...'</w:t>
            </w:r>
          </w:p>
        </w:tc>
        <w:tc>
          <w:tcPr>
            <w:tcW w:type="dxa" w:w="3660"/>
            <w:tcMar>
              <w:top w:w="80" w:type="dxa"/>
              <w:bottom w:w="80" w:type="dxa"/>
              <w:start w:w="120" w:type="dxa"/>
              <w:end w:w="120" w:type="dxa"/>
            </w:tcMar>
            <w:vAlign w:val="center"/>
          </w:tcPr>
          <w:p>
            <w:r>
              <w:rPr>
                <w:rFonts w:ascii="Calibri" w:hAnsi="Calibri"/>
                <w:b w:val="0"/>
                <w:i w:val="0"/>
                <w:sz w:val="17"/>
              </w:rPr>
              <w:t>Motive, knowledge, urgency, PIP plan</w:t>
            </w:r>
          </w:p>
        </w:tc>
      </w:tr>
      <w:tr>
        <w:trPr>
          <w:cantSplit/>
        </w:trPr>
        <w:tc>
          <w:tcPr>
            <w:tcW w:type="dxa" w:w="1400"/>
            <w:tcMar>
              <w:top w:w="80" w:type="dxa"/>
              <w:bottom w:w="80" w:type="dxa"/>
              <w:start w:w="120" w:type="dxa"/>
              <w:end w:w="120" w:type="dxa"/>
            </w:tcMar>
            <w:vAlign w:val="center"/>
          </w:tcPr>
          <w:p>
            <w:r>
              <w:rPr>
                <w:rFonts w:ascii="Calibri" w:hAnsi="Calibri"/>
                <w:b/>
                <w:i w:val="0"/>
                <w:sz w:val="17"/>
              </w:rPr>
              <w:t>Feb. 20, 2024</w:t>
            </w:r>
          </w:p>
        </w:tc>
        <w:tc>
          <w:tcPr>
            <w:tcW w:type="dxa" w:w="4300"/>
            <w:tcMar>
              <w:top w:w="80" w:type="dxa"/>
              <w:bottom w:w="80" w:type="dxa"/>
              <w:start w:w="120" w:type="dxa"/>
              <w:end w:w="120" w:type="dxa"/>
            </w:tcMar>
            <w:vAlign w:val="center"/>
          </w:tcPr>
          <w:p>
            <w:r>
              <w:rPr>
                <w:rFonts w:ascii="Calibri" w:hAnsi="Calibri"/>
                <w:b w:val="0"/>
                <w:i w:val="0"/>
                <w:sz w:val="17"/>
              </w:rPr>
              <w:t>30-day PIP issued; stated end date March 21</w:t>
            </w:r>
          </w:p>
        </w:tc>
        <w:tc>
          <w:tcPr>
            <w:tcW w:type="dxa" w:w="3660"/>
            <w:tcMar>
              <w:top w:w="80" w:type="dxa"/>
              <w:bottom w:w="80" w:type="dxa"/>
              <w:start w:w="120" w:type="dxa"/>
              <w:end w:w="120" w:type="dxa"/>
            </w:tcMar>
            <w:vAlign w:val="center"/>
          </w:tcPr>
          <w:p>
            <w:r>
              <w:rPr>
                <w:rFonts w:ascii="Calibri" w:hAnsi="Calibri"/>
                <w:b w:val="0"/>
                <w:i w:val="0"/>
                <w:sz w:val="17"/>
              </w:rPr>
              <w:t>Pretext, false metrics, Section 7.4 compliance</w:t>
            </w:r>
          </w:p>
        </w:tc>
      </w:tr>
      <w:tr>
        <w:trPr>
          <w:cantSplit/>
        </w:trPr>
        <w:tc>
          <w:tcPr>
            <w:tcW w:type="dxa" w:w="1400"/>
            <w:tcMar>
              <w:top w:w="80" w:type="dxa"/>
              <w:bottom w:w="80" w:type="dxa"/>
              <w:start w:w="120" w:type="dxa"/>
              <w:end w:w="120" w:type="dxa"/>
            </w:tcMar>
            <w:vAlign w:val="center"/>
          </w:tcPr>
          <w:p>
            <w:r>
              <w:rPr>
                <w:rFonts w:ascii="Calibri" w:hAnsi="Calibri"/>
                <w:b/>
                <w:i w:val="0"/>
                <w:sz w:val="17"/>
              </w:rPr>
              <w:t>Mar. 14, 2024</w:t>
            </w:r>
          </w:p>
        </w:tc>
        <w:tc>
          <w:tcPr>
            <w:tcW w:type="dxa" w:w="4300"/>
            <w:tcMar>
              <w:top w:w="80" w:type="dxa"/>
              <w:bottom w:w="80" w:type="dxa"/>
              <w:start w:w="120" w:type="dxa"/>
              <w:end w:w="120" w:type="dxa"/>
            </w:tcMar>
            <w:vAlign w:val="center"/>
          </w:tcPr>
          <w:p>
            <w:r>
              <w:rPr>
                <w:rFonts w:ascii="Calibri" w:hAnsi="Calibri"/>
                <w:b w:val="0"/>
                <w:i w:val="0"/>
                <w:sz w:val="17"/>
              </w:rPr>
              <w:t>Whitford recommends and communicates termination</w:t>
            </w:r>
          </w:p>
        </w:tc>
        <w:tc>
          <w:tcPr>
            <w:tcW w:type="dxa" w:w="3660"/>
            <w:tcMar>
              <w:top w:w="80" w:type="dxa"/>
              <w:bottom w:w="80" w:type="dxa"/>
              <w:start w:w="120" w:type="dxa"/>
              <w:end w:w="120" w:type="dxa"/>
            </w:tcMar>
            <w:vAlign w:val="center"/>
          </w:tcPr>
          <w:p>
            <w:r>
              <w:rPr>
                <w:rFonts w:ascii="Calibri" w:hAnsi="Calibri"/>
                <w:b w:val="0"/>
                <w:i w:val="0"/>
                <w:sz w:val="17"/>
              </w:rPr>
              <w:t>65 days after complaint; 7 days before PIP end</w:t>
            </w:r>
          </w:p>
        </w:tc>
      </w:tr>
    </w:tbl>
    <w:p>
      <w:pPr>
        <w:spacing w:after="40"/>
      </w:pPr>
    </w:p>
    <w:p>
      <w:pPr>
        <w:pStyle w:val="Heading1"/>
      </w:pPr>
      <w:r>
        <w:t>Comparator snapshot</w:t>
      </w:r>
    </w:p>
    <w:tbl>
      <w:tblPr>
        <w:tblW w:type="dxa" w:w="9360"/>
        <w:jc w:val="left"/>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Ind w:w="120" w:type="dxa"/>
      </w:tblPr>
      <w:tblGrid>
        <w:gridCol w:w="2200"/>
        <w:gridCol w:w="1200"/>
        <w:gridCol w:w="1700"/>
        <w:gridCol w:w="1800"/>
        <w:gridCol w:w="2460"/>
      </w:tblGrid>
      <w:tr>
        <w:trPr>
          <w:tblHeader w:val="true"/>
        </w:trPr>
        <w:tc>
          <w:tcPr>
            <w:tcW w:type="dxa" w:w="2200"/>
            <w:shd w:fill="E8EEF5"/>
            <w:tcMar>
              <w:top w:w="80" w:type="dxa"/>
              <w:bottom w:w="80" w:type="dxa"/>
              <w:start w:w="120" w:type="dxa"/>
              <w:end w:w="120" w:type="dxa"/>
            </w:tcMar>
            <w:vAlign w:val="center"/>
          </w:tcPr>
          <w:p>
            <w:r>
              <w:rPr>
                <w:rFonts w:ascii="Calibri" w:hAnsi="Calibri"/>
                <w:b/>
                <w:i w:val="0"/>
                <w:color w:val="1F4D78"/>
                <w:sz w:val="17"/>
              </w:rPr>
              <w:t>SVP</w:t>
            </w:r>
          </w:p>
        </w:tc>
        <w:tc>
          <w:tcPr>
            <w:tcW w:type="dxa" w:w="1200"/>
            <w:shd w:fill="E8EEF5"/>
            <w:tcMar>
              <w:top w:w="80" w:type="dxa"/>
              <w:bottom w:w="80" w:type="dxa"/>
              <w:start w:w="120" w:type="dxa"/>
              <w:end w:w="120" w:type="dxa"/>
            </w:tcMar>
            <w:vAlign w:val="center"/>
          </w:tcPr>
          <w:p>
            <w:r>
              <w:rPr>
                <w:rFonts w:ascii="Calibri" w:hAnsi="Calibri"/>
                <w:b/>
                <w:i w:val="0"/>
                <w:color w:val="1F4D78"/>
                <w:sz w:val="17"/>
              </w:rPr>
              <w:t>Delinq.</w:t>
            </w:r>
          </w:p>
        </w:tc>
        <w:tc>
          <w:tcPr>
            <w:tcW w:type="dxa" w:w="1700"/>
            <w:shd w:fill="E8EEF5"/>
            <w:tcMar>
              <w:top w:w="80" w:type="dxa"/>
              <w:bottom w:w="80" w:type="dxa"/>
              <w:start w:w="120" w:type="dxa"/>
              <w:end w:w="120" w:type="dxa"/>
            </w:tcMar>
            <w:vAlign w:val="center"/>
          </w:tcPr>
          <w:p>
            <w:r>
              <w:rPr>
                <w:rFonts w:ascii="Calibri" w:hAnsi="Calibri"/>
                <w:b/>
                <w:i w:val="0"/>
                <w:color w:val="1F4D78"/>
                <w:sz w:val="17"/>
              </w:rPr>
              <w:t>Originations</w:t>
            </w:r>
          </w:p>
        </w:tc>
        <w:tc>
          <w:tcPr>
            <w:tcW w:type="dxa" w:w="1800"/>
            <w:shd w:fill="E8EEF5"/>
            <w:tcMar>
              <w:top w:w="80" w:type="dxa"/>
              <w:bottom w:w="80" w:type="dxa"/>
              <w:start w:w="120" w:type="dxa"/>
              <w:end w:w="120" w:type="dxa"/>
            </w:tcMar>
            <w:vAlign w:val="center"/>
          </w:tcPr>
          <w:p>
            <w:r>
              <w:rPr>
                <w:rFonts w:ascii="Calibri" w:hAnsi="Calibri"/>
                <w:b/>
                <w:i w:val="0"/>
                <w:color w:val="1F4D78"/>
                <w:sz w:val="17"/>
              </w:rPr>
              <w:t>Defaults</w:t>
            </w:r>
          </w:p>
        </w:tc>
        <w:tc>
          <w:tcPr>
            <w:tcW w:type="dxa" w:w="2460"/>
            <w:shd w:fill="E8EEF5"/>
            <w:tcMar>
              <w:top w:w="80" w:type="dxa"/>
              <w:bottom w:w="80" w:type="dxa"/>
              <w:start w:w="120" w:type="dxa"/>
              <w:end w:w="120" w:type="dxa"/>
            </w:tcMar>
            <w:vAlign w:val="center"/>
          </w:tcPr>
          <w:p>
            <w:r>
              <w:rPr>
                <w:rFonts w:ascii="Calibri" w:hAnsi="Calibri"/>
                <w:b/>
                <w:i w:val="0"/>
                <w:color w:val="1F4D78"/>
                <w:sz w:val="17"/>
              </w:rPr>
              <w:t>Action</w:t>
            </w:r>
          </w:p>
        </w:tc>
      </w:tr>
      <w:tr>
        <w:trPr>
          <w:cantSplit/>
        </w:trPr>
        <w:tc>
          <w:tcPr>
            <w:tcW w:type="dxa" w:w="2200"/>
            <w:tcMar>
              <w:top w:w="80" w:type="dxa"/>
              <w:bottom w:w="80" w:type="dxa"/>
              <w:start w:w="120" w:type="dxa"/>
              <w:end w:w="120" w:type="dxa"/>
            </w:tcMar>
            <w:vAlign w:val="center"/>
          </w:tcPr>
          <w:p>
            <w:r>
              <w:rPr>
                <w:rFonts w:ascii="Calibri" w:hAnsi="Calibri"/>
                <w:b/>
                <w:i w:val="0"/>
                <w:sz w:val="17"/>
              </w:rPr>
              <w:t>Delgado-Reyes</w:t>
            </w:r>
          </w:p>
        </w:tc>
        <w:tc>
          <w:tcPr>
            <w:tcW w:type="dxa" w:w="1200"/>
            <w:tcMar>
              <w:top w:w="80" w:type="dxa"/>
              <w:bottom w:w="80" w:type="dxa"/>
              <w:start w:w="120" w:type="dxa"/>
              <w:end w:w="120" w:type="dxa"/>
            </w:tcMar>
            <w:vAlign w:val="center"/>
          </w:tcPr>
          <w:p>
            <w:r>
              <w:rPr>
                <w:rFonts w:ascii="Calibri" w:hAnsi="Calibri"/>
                <w:b w:val="0"/>
                <w:i w:val="0"/>
                <w:sz w:val="17"/>
              </w:rPr>
              <w:t>2.4%</w:t>
            </w:r>
          </w:p>
        </w:tc>
        <w:tc>
          <w:tcPr>
            <w:tcW w:type="dxa" w:w="1700"/>
            <w:tcMar>
              <w:top w:w="80" w:type="dxa"/>
              <w:bottom w:w="80" w:type="dxa"/>
              <w:start w:w="120" w:type="dxa"/>
              <w:end w:w="120" w:type="dxa"/>
            </w:tcMar>
            <w:vAlign w:val="center"/>
          </w:tcPr>
          <w:p>
            <w:r>
              <w:rPr>
                <w:rFonts w:ascii="Calibri" w:hAnsi="Calibri"/>
                <w:b w:val="0"/>
                <w:i w:val="0"/>
                <w:sz w:val="17"/>
              </w:rPr>
              <w:t>$42.3M</w:t>
            </w:r>
          </w:p>
        </w:tc>
        <w:tc>
          <w:tcPr>
            <w:tcW w:type="dxa" w:w="1800"/>
            <w:tcMar>
              <w:top w:w="80" w:type="dxa"/>
              <w:bottom w:w="80" w:type="dxa"/>
              <w:start w:w="120" w:type="dxa"/>
              <w:end w:w="120" w:type="dxa"/>
            </w:tcMar>
            <w:vAlign w:val="center"/>
          </w:tcPr>
          <w:p>
            <w:r>
              <w:rPr>
                <w:rFonts w:ascii="Calibri" w:hAnsi="Calibri"/>
                <w:b w:val="0"/>
                <w:i w:val="0"/>
                <w:sz w:val="17"/>
              </w:rPr>
              <w:t>2 / $3.1M</w:t>
            </w:r>
          </w:p>
        </w:tc>
        <w:tc>
          <w:tcPr>
            <w:tcW w:type="dxa" w:w="2460"/>
            <w:tcMar>
              <w:top w:w="80" w:type="dxa"/>
              <w:bottom w:w="80" w:type="dxa"/>
              <w:start w:w="120" w:type="dxa"/>
              <w:end w:w="120" w:type="dxa"/>
            </w:tcMar>
            <w:vAlign w:val="center"/>
          </w:tcPr>
          <w:p>
            <w:r>
              <w:rPr>
                <w:rFonts w:ascii="Calibri" w:hAnsi="Calibri"/>
                <w:b w:val="0"/>
                <w:i w:val="0"/>
                <w:sz w:val="17"/>
              </w:rPr>
              <w:t>PIP; terminated</w:t>
            </w:r>
          </w:p>
        </w:tc>
      </w:tr>
      <w:tr>
        <w:trPr>
          <w:cantSplit/>
        </w:trPr>
        <w:tc>
          <w:tcPr>
            <w:tcW w:type="dxa" w:w="2200"/>
            <w:tcMar>
              <w:top w:w="80" w:type="dxa"/>
              <w:bottom w:w="80" w:type="dxa"/>
              <w:start w:w="120" w:type="dxa"/>
              <w:end w:w="120" w:type="dxa"/>
            </w:tcMar>
            <w:vAlign w:val="center"/>
          </w:tcPr>
          <w:p>
            <w:r>
              <w:rPr>
                <w:rFonts w:ascii="Calibri" w:hAnsi="Calibri"/>
                <w:b/>
                <w:i w:val="0"/>
                <w:sz w:val="17"/>
              </w:rPr>
              <w:t>Marcus Langley</w:t>
            </w:r>
          </w:p>
        </w:tc>
        <w:tc>
          <w:tcPr>
            <w:tcW w:type="dxa" w:w="1200"/>
            <w:tcMar>
              <w:top w:w="80" w:type="dxa"/>
              <w:bottom w:w="80" w:type="dxa"/>
              <w:start w:w="120" w:type="dxa"/>
              <w:end w:w="120" w:type="dxa"/>
            </w:tcMar>
            <w:vAlign w:val="center"/>
          </w:tcPr>
          <w:p>
            <w:r>
              <w:rPr>
                <w:rFonts w:ascii="Calibri" w:hAnsi="Calibri"/>
                <w:b w:val="0"/>
                <w:i w:val="0"/>
                <w:sz w:val="17"/>
              </w:rPr>
              <w:t>3.1%</w:t>
            </w:r>
          </w:p>
        </w:tc>
        <w:tc>
          <w:tcPr>
            <w:tcW w:type="dxa" w:w="1700"/>
            <w:tcMar>
              <w:top w:w="80" w:type="dxa"/>
              <w:bottom w:w="80" w:type="dxa"/>
              <w:start w:w="120" w:type="dxa"/>
              <w:end w:w="120" w:type="dxa"/>
            </w:tcMar>
            <w:vAlign w:val="center"/>
          </w:tcPr>
          <w:p>
            <w:r>
              <w:rPr>
                <w:rFonts w:ascii="Calibri" w:hAnsi="Calibri"/>
                <w:b w:val="0"/>
                <w:i w:val="0"/>
                <w:sz w:val="17"/>
              </w:rPr>
              <w:t>$36.1M</w:t>
            </w:r>
          </w:p>
        </w:tc>
        <w:tc>
          <w:tcPr>
            <w:tcW w:type="dxa" w:w="1800"/>
            <w:tcMar>
              <w:top w:w="80" w:type="dxa"/>
              <w:bottom w:w="80" w:type="dxa"/>
              <w:start w:w="120" w:type="dxa"/>
              <w:end w:w="120" w:type="dxa"/>
            </w:tcMar>
            <w:vAlign w:val="center"/>
          </w:tcPr>
          <w:p>
            <w:r>
              <w:rPr>
                <w:rFonts w:ascii="Calibri" w:hAnsi="Calibri"/>
                <w:b w:val="0"/>
                <w:i w:val="0"/>
                <w:sz w:val="17"/>
              </w:rPr>
              <w:t>3 / $4.7M</w:t>
            </w:r>
          </w:p>
        </w:tc>
        <w:tc>
          <w:tcPr>
            <w:tcW w:type="dxa" w:w="2460"/>
            <w:tcMar>
              <w:top w:w="80" w:type="dxa"/>
              <w:bottom w:w="80" w:type="dxa"/>
              <w:start w:w="120" w:type="dxa"/>
              <w:end w:w="120" w:type="dxa"/>
            </w:tcMar>
            <w:vAlign w:val="center"/>
          </w:tcPr>
          <w:p>
            <w:r>
              <w:rPr>
                <w:rFonts w:ascii="Calibri" w:hAnsi="Calibri"/>
                <w:b w:val="0"/>
                <w:i w:val="0"/>
                <w:sz w:val="17"/>
              </w:rPr>
              <w:t>No PIP or discipline</w:t>
            </w:r>
          </w:p>
        </w:tc>
      </w:tr>
      <w:tr>
        <w:trPr>
          <w:cantSplit/>
        </w:trPr>
        <w:tc>
          <w:tcPr>
            <w:tcW w:type="dxa" w:w="2200"/>
            <w:tcMar>
              <w:top w:w="80" w:type="dxa"/>
              <w:bottom w:w="80" w:type="dxa"/>
              <w:start w:w="120" w:type="dxa"/>
              <w:end w:w="120" w:type="dxa"/>
            </w:tcMar>
            <w:vAlign w:val="center"/>
          </w:tcPr>
          <w:p>
            <w:r>
              <w:rPr>
                <w:rFonts w:ascii="Calibri" w:hAnsi="Calibri"/>
                <w:b/>
                <w:i w:val="0"/>
                <w:sz w:val="17"/>
              </w:rPr>
              <w:t>Brian Kowalski</w:t>
            </w:r>
          </w:p>
        </w:tc>
        <w:tc>
          <w:tcPr>
            <w:tcW w:type="dxa" w:w="1200"/>
            <w:tcMar>
              <w:top w:w="80" w:type="dxa"/>
              <w:bottom w:w="80" w:type="dxa"/>
              <w:start w:w="120" w:type="dxa"/>
              <w:end w:w="120" w:type="dxa"/>
            </w:tcMar>
            <w:vAlign w:val="center"/>
          </w:tcPr>
          <w:p>
            <w:r>
              <w:rPr>
                <w:rFonts w:ascii="Calibri" w:hAnsi="Calibri"/>
                <w:b w:val="0"/>
                <w:i w:val="0"/>
                <w:sz w:val="17"/>
              </w:rPr>
              <w:t>2.8%</w:t>
            </w:r>
          </w:p>
        </w:tc>
        <w:tc>
          <w:tcPr>
            <w:tcW w:type="dxa" w:w="1700"/>
            <w:tcMar>
              <w:top w:w="80" w:type="dxa"/>
              <w:bottom w:w="80" w:type="dxa"/>
              <w:start w:w="120" w:type="dxa"/>
              <w:end w:w="120" w:type="dxa"/>
            </w:tcMar>
            <w:vAlign w:val="center"/>
          </w:tcPr>
          <w:p>
            <w:r>
              <w:rPr>
                <w:rFonts w:ascii="Calibri" w:hAnsi="Calibri"/>
                <w:b w:val="0"/>
                <w:i w:val="0"/>
                <w:sz w:val="17"/>
              </w:rPr>
              <w:t>$39.4M</w:t>
            </w:r>
          </w:p>
        </w:tc>
        <w:tc>
          <w:tcPr>
            <w:tcW w:type="dxa" w:w="1800"/>
            <w:tcMar>
              <w:top w:w="80" w:type="dxa"/>
              <w:bottom w:w="80" w:type="dxa"/>
              <w:start w:w="120" w:type="dxa"/>
              <w:end w:w="120" w:type="dxa"/>
            </w:tcMar>
            <w:vAlign w:val="center"/>
          </w:tcPr>
          <w:p>
            <w:r>
              <w:rPr>
                <w:rFonts w:ascii="Calibri" w:hAnsi="Calibri"/>
                <w:b w:val="0"/>
                <w:i w:val="0"/>
                <w:sz w:val="17"/>
              </w:rPr>
              <w:t>2 / $2.9M</w:t>
            </w:r>
          </w:p>
        </w:tc>
        <w:tc>
          <w:tcPr>
            <w:tcW w:type="dxa" w:w="2460"/>
            <w:tcMar>
              <w:top w:w="80" w:type="dxa"/>
              <w:bottom w:w="80" w:type="dxa"/>
              <w:start w:w="120" w:type="dxa"/>
              <w:end w:w="120" w:type="dxa"/>
            </w:tcMar>
            <w:vAlign w:val="center"/>
          </w:tcPr>
          <w:p>
            <w:r>
              <w:rPr>
                <w:rFonts w:ascii="Calibri" w:hAnsi="Calibri"/>
                <w:b w:val="0"/>
                <w:i w:val="0"/>
                <w:sz w:val="17"/>
              </w:rPr>
              <w:t>No PIP or discipline</w:t>
            </w:r>
          </w:p>
        </w:tc>
      </w:tr>
      <w:tr>
        <w:trPr>
          <w:cantSplit/>
        </w:trPr>
        <w:tc>
          <w:tcPr>
            <w:tcW w:type="dxa" w:w="2200"/>
            <w:tcMar>
              <w:top w:w="80" w:type="dxa"/>
              <w:bottom w:w="80" w:type="dxa"/>
              <w:start w:w="120" w:type="dxa"/>
              <w:end w:w="120" w:type="dxa"/>
            </w:tcMar>
            <w:vAlign w:val="center"/>
          </w:tcPr>
          <w:p>
            <w:r>
              <w:rPr>
                <w:rFonts w:ascii="Calibri" w:hAnsi="Calibri"/>
                <w:b/>
                <w:i w:val="0"/>
                <w:sz w:val="17"/>
              </w:rPr>
              <w:t>Division avg.</w:t>
            </w:r>
          </w:p>
        </w:tc>
        <w:tc>
          <w:tcPr>
            <w:tcW w:type="dxa" w:w="1200"/>
            <w:tcMar>
              <w:top w:w="80" w:type="dxa"/>
              <w:bottom w:w="80" w:type="dxa"/>
              <w:start w:w="120" w:type="dxa"/>
              <w:end w:w="120" w:type="dxa"/>
            </w:tcMar>
            <w:vAlign w:val="center"/>
          </w:tcPr>
          <w:p>
            <w:r>
              <w:rPr>
                <w:rFonts w:ascii="Calibri" w:hAnsi="Calibri"/>
                <w:b w:val="0"/>
                <w:i w:val="0"/>
                <w:sz w:val="17"/>
              </w:rPr>
              <w:t>2.6%</w:t>
            </w:r>
          </w:p>
        </w:tc>
        <w:tc>
          <w:tcPr>
            <w:tcW w:type="dxa" w:w="1700"/>
            <w:tcMar>
              <w:top w:w="80" w:type="dxa"/>
              <w:bottom w:w="80" w:type="dxa"/>
              <w:start w:w="120" w:type="dxa"/>
              <w:end w:w="120" w:type="dxa"/>
            </w:tcMar>
            <w:vAlign w:val="center"/>
          </w:tcPr>
          <w:p>
            <w:r>
              <w:rPr>
                <w:rFonts w:ascii="Calibri" w:hAnsi="Calibri"/>
                <w:b w:val="0"/>
                <w:i w:val="0"/>
                <w:sz w:val="17"/>
              </w:rPr>
              <w:t>$38.7M</w:t>
            </w:r>
          </w:p>
        </w:tc>
        <w:tc>
          <w:tcPr>
            <w:tcW w:type="dxa" w:w="1800"/>
            <w:tcMar>
              <w:top w:w="80" w:type="dxa"/>
              <w:bottom w:w="80" w:type="dxa"/>
              <w:start w:w="120" w:type="dxa"/>
              <w:end w:w="120" w:type="dxa"/>
            </w:tcMar>
            <w:vAlign w:val="center"/>
          </w:tcPr>
          <w:p>
            <w:r>
              <w:rPr>
                <w:rFonts w:ascii="Calibri" w:hAnsi="Calibri"/>
                <w:b w:val="0"/>
                <w:i w:val="0"/>
                <w:sz w:val="17"/>
              </w:rPr>
              <w:t>9 / $13.6M</w:t>
            </w:r>
          </w:p>
        </w:tc>
        <w:tc>
          <w:tcPr>
            <w:tcW w:type="dxa" w:w="2460"/>
            <w:tcMar>
              <w:top w:w="80" w:type="dxa"/>
              <w:bottom w:w="80" w:type="dxa"/>
              <w:start w:w="120" w:type="dxa"/>
              <w:end w:w="120" w:type="dxa"/>
            </w:tcMar>
            <w:vAlign w:val="center"/>
          </w:tcPr>
          <w:p>
            <w:r>
              <w:rPr>
                <w:rFonts w:ascii="Calibri" w:hAnsi="Calibri"/>
                <w:b w:val="0"/>
                <w:i w:val="0"/>
                <w:sz w:val="17"/>
              </w:rPr>
              <w:t>Only Delgado-Reyes PIP'd</w:t>
            </w:r>
          </w:p>
        </w:tc>
      </w:tr>
    </w:tbl>
    <w:p>
      <w:pPr>
        <w:spacing w:after="40"/>
      </w:pPr>
    </w:p>
    <w:p>
      <w:pPr>
        <w:pStyle w:val="Heading1"/>
      </w:pPr>
      <w:r>
        <w:t>Exhibit sequence</w:t>
      </w:r>
    </w:p>
    <w:tbl>
      <w:tblPr>
        <w:tblW w:type="dxa" w:w="9360"/>
        <w:jc w:val="left"/>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Ind w:w="120" w:type="dxa"/>
      </w:tblPr>
      <w:tblGrid>
        <w:gridCol w:w="600"/>
        <w:gridCol w:w="3700"/>
        <w:gridCol w:w="5060"/>
      </w:tblGrid>
      <w:tr>
        <w:trPr>
          <w:tblHeader w:val="true"/>
        </w:trPr>
        <w:tc>
          <w:tcPr>
            <w:tcW w:type="dxa" w:w="600"/>
            <w:shd w:fill="E8EEF5"/>
            <w:tcMar>
              <w:top w:w="80" w:type="dxa"/>
              <w:bottom w:w="80" w:type="dxa"/>
              <w:start w:w="120" w:type="dxa"/>
              <w:end w:w="120" w:type="dxa"/>
            </w:tcMar>
            <w:vAlign w:val="center"/>
          </w:tcPr>
          <w:p>
            <w:r>
              <w:rPr>
                <w:rFonts w:ascii="Calibri" w:hAnsi="Calibri"/>
                <w:b/>
                <w:i w:val="0"/>
                <w:color w:val="1F4D78"/>
                <w:sz w:val="17"/>
              </w:rPr>
              <w:t>Ex.</w:t>
            </w:r>
          </w:p>
        </w:tc>
        <w:tc>
          <w:tcPr>
            <w:tcW w:type="dxa" w:w="3700"/>
            <w:shd w:fill="E8EEF5"/>
            <w:tcMar>
              <w:top w:w="80" w:type="dxa"/>
              <w:bottom w:w="80" w:type="dxa"/>
              <w:start w:w="120" w:type="dxa"/>
              <w:end w:w="120" w:type="dxa"/>
            </w:tcMar>
            <w:vAlign w:val="center"/>
          </w:tcPr>
          <w:p>
            <w:r>
              <w:rPr>
                <w:rFonts w:ascii="Calibri" w:hAnsi="Calibri"/>
                <w:b/>
                <w:i w:val="0"/>
                <w:color w:val="1F4D78"/>
                <w:sz w:val="17"/>
              </w:rPr>
              <w:t>Document</w:t>
            </w:r>
          </w:p>
        </w:tc>
        <w:tc>
          <w:tcPr>
            <w:tcW w:type="dxa" w:w="5060"/>
            <w:shd w:fill="E8EEF5"/>
            <w:tcMar>
              <w:top w:w="80" w:type="dxa"/>
              <w:bottom w:w="80" w:type="dxa"/>
              <w:start w:w="120" w:type="dxa"/>
              <w:end w:w="120" w:type="dxa"/>
            </w:tcMar>
            <w:vAlign w:val="center"/>
          </w:tcPr>
          <w:p>
            <w:r>
              <w:rPr>
                <w:rFonts w:ascii="Calibri" w:hAnsi="Calibri"/>
                <w:b/>
                <w:i w:val="0"/>
                <w:color w:val="1F4D78"/>
                <w:sz w:val="17"/>
              </w:rPr>
              <w:t>Principal use</w:t>
            </w:r>
          </w:p>
        </w:tc>
      </w:tr>
      <w:tr>
        <w:trPr>
          <w:cantSplit/>
        </w:trPr>
        <w:tc>
          <w:tcPr>
            <w:tcW w:type="dxa" w:w="600"/>
            <w:tcMar>
              <w:top w:w="80" w:type="dxa"/>
              <w:bottom w:w="80" w:type="dxa"/>
              <w:start w:w="120" w:type="dxa"/>
              <w:end w:w="120" w:type="dxa"/>
            </w:tcMar>
            <w:vAlign w:val="center"/>
          </w:tcPr>
          <w:p>
            <w:r>
              <w:rPr>
                <w:rFonts w:ascii="Calibri" w:hAnsi="Calibri"/>
                <w:b/>
                <w:i w:val="0"/>
                <w:sz w:val="17"/>
              </w:rPr>
              <w:t>1</w:t>
            </w:r>
          </w:p>
        </w:tc>
        <w:tc>
          <w:tcPr>
            <w:tcW w:type="dxa" w:w="3700"/>
            <w:tcMar>
              <w:top w:w="80" w:type="dxa"/>
              <w:bottom w:w="80" w:type="dxa"/>
              <w:start w:w="120" w:type="dxa"/>
              <w:end w:w="120" w:type="dxa"/>
            </w:tcMar>
            <w:vAlign w:val="center"/>
          </w:tcPr>
          <w:p>
            <w:r>
              <w:rPr>
                <w:rFonts w:ascii="Calibri" w:hAnsi="Calibri"/>
                <w:b w:val="0"/>
                <w:i w:val="0"/>
                <w:sz w:val="17"/>
              </w:rPr>
              <w:t>Discrimination complaint email (Jan. 8)</w:t>
            </w:r>
          </w:p>
        </w:tc>
        <w:tc>
          <w:tcPr>
            <w:tcW w:type="dxa" w:w="5060"/>
            <w:tcMar>
              <w:top w:w="80" w:type="dxa"/>
              <w:bottom w:w="80" w:type="dxa"/>
              <w:start w:w="120" w:type="dxa"/>
              <w:end w:w="120" w:type="dxa"/>
            </w:tcMar>
            <w:vAlign w:val="center"/>
          </w:tcPr>
          <w:p>
            <w:r>
              <w:rPr>
                <w:rFonts w:ascii="Calibri" w:hAnsi="Calibri"/>
                <w:b w:val="0"/>
                <w:i w:val="0"/>
                <w:sz w:val="17"/>
              </w:rPr>
              <w:t>Knowledge; three comments; protected activity</w:t>
            </w:r>
          </w:p>
        </w:tc>
      </w:tr>
      <w:tr>
        <w:trPr>
          <w:cantSplit/>
        </w:trPr>
        <w:tc>
          <w:tcPr>
            <w:tcW w:type="dxa" w:w="600"/>
            <w:tcMar>
              <w:top w:w="80" w:type="dxa"/>
              <w:bottom w:w="80" w:type="dxa"/>
              <w:start w:w="120" w:type="dxa"/>
              <w:end w:w="120" w:type="dxa"/>
            </w:tcMar>
            <w:vAlign w:val="center"/>
          </w:tcPr>
          <w:p>
            <w:r>
              <w:rPr>
                <w:rFonts w:ascii="Calibri" w:hAnsi="Calibri"/>
                <w:b/>
                <w:i w:val="0"/>
                <w:sz w:val="17"/>
              </w:rPr>
              <w:t>2</w:t>
            </w:r>
          </w:p>
        </w:tc>
        <w:tc>
          <w:tcPr>
            <w:tcW w:type="dxa" w:w="3700"/>
            <w:tcMar>
              <w:top w:w="80" w:type="dxa"/>
              <w:bottom w:w="80" w:type="dxa"/>
              <w:start w:w="120" w:type="dxa"/>
              <w:end w:w="120" w:type="dxa"/>
            </w:tcMar>
            <w:vAlign w:val="center"/>
          </w:tcPr>
          <w:p>
            <w:r>
              <w:rPr>
                <w:rFonts w:ascii="Calibri" w:hAnsi="Calibri"/>
                <w:b w:val="0"/>
                <w:i w:val="0"/>
                <w:sz w:val="17"/>
              </w:rPr>
              <w:t>HR investigation report (Feb. 12)</w:t>
            </w:r>
          </w:p>
        </w:tc>
        <w:tc>
          <w:tcPr>
            <w:tcW w:type="dxa" w:w="5060"/>
            <w:tcMar>
              <w:top w:w="80" w:type="dxa"/>
              <w:bottom w:w="80" w:type="dxa"/>
              <w:start w:w="120" w:type="dxa"/>
              <w:end w:w="120" w:type="dxa"/>
            </w:tcMar>
            <w:vAlign w:val="center"/>
          </w:tcPr>
          <w:p>
            <w:r>
              <w:rPr>
                <w:rFonts w:ascii="Calibri" w:hAnsi="Calibri"/>
                <w:b w:val="0"/>
                <w:i w:val="0"/>
                <w:sz w:val="17"/>
              </w:rPr>
              <w:t>Admissions, witness corroboration, prior complaint, counseling</w:t>
            </w:r>
          </w:p>
        </w:tc>
      </w:tr>
      <w:tr>
        <w:trPr>
          <w:cantSplit/>
        </w:trPr>
        <w:tc>
          <w:tcPr>
            <w:tcW w:type="dxa" w:w="600"/>
            <w:tcMar>
              <w:top w:w="80" w:type="dxa"/>
              <w:bottom w:w="80" w:type="dxa"/>
              <w:start w:w="120" w:type="dxa"/>
              <w:end w:w="120" w:type="dxa"/>
            </w:tcMar>
            <w:vAlign w:val="center"/>
          </w:tcPr>
          <w:p>
            <w:r>
              <w:rPr>
                <w:rFonts w:ascii="Calibri" w:hAnsi="Calibri"/>
                <w:b/>
                <w:i w:val="0"/>
                <w:sz w:val="17"/>
              </w:rPr>
              <w:t>3</w:t>
            </w:r>
          </w:p>
        </w:tc>
        <w:tc>
          <w:tcPr>
            <w:tcW w:type="dxa" w:w="3700"/>
            <w:tcMar>
              <w:top w:w="80" w:type="dxa"/>
              <w:bottom w:w="80" w:type="dxa"/>
              <w:start w:w="120" w:type="dxa"/>
              <w:end w:w="120" w:type="dxa"/>
            </w:tcMar>
            <w:vAlign w:val="center"/>
          </w:tcPr>
          <w:p>
            <w:r>
              <w:rPr>
                <w:rFonts w:ascii="Calibri" w:hAnsi="Calibri"/>
                <w:b w:val="0"/>
                <w:i w:val="0"/>
                <w:sz w:val="17"/>
              </w:rPr>
              <w:t>2023 performance review (Feb. 5)</w:t>
            </w:r>
          </w:p>
        </w:tc>
        <w:tc>
          <w:tcPr>
            <w:tcW w:type="dxa" w:w="5060"/>
            <w:tcMar>
              <w:top w:w="80" w:type="dxa"/>
              <w:bottom w:w="80" w:type="dxa"/>
              <w:start w:w="120" w:type="dxa"/>
              <w:end w:w="120" w:type="dxa"/>
            </w:tcMar>
            <w:vAlign w:val="center"/>
          </w:tcPr>
          <w:p>
            <w:r>
              <w:rPr>
                <w:rFonts w:ascii="Calibri" w:hAnsi="Calibri"/>
                <w:b w:val="0"/>
                <w:i w:val="0"/>
                <w:sz w:val="17"/>
              </w:rPr>
              <w:t>Drafting timing, stated grounds, disagreement notation</w:t>
            </w:r>
          </w:p>
        </w:tc>
      </w:tr>
      <w:tr>
        <w:trPr>
          <w:cantSplit/>
        </w:trPr>
        <w:tc>
          <w:tcPr>
            <w:tcW w:type="dxa" w:w="600"/>
            <w:tcMar>
              <w:top w:w="80" w:type="dxa"/>
              <w:bottom w:w="80" w:type="dxa"/>
              <w:start w:w="120" w:type="dxa"/>
              <w:end w:w="120" w:type="dxa"/>
            </w:tcMar>
            <w:vAlign w:val="center"/>
          </w:tcPr>
          <w:p>
            <w:r>
              <w:rPr>
                <w:rFonts w:ascii="Calibri" w:hAnsi="Calibri"/>
                <w:b/>
                <w:i w:val="0"/>
                <w:sz w:val="17"/>
              </w:rPr>
              <w:t>4</w:t>
            </w:r>
          </w:p>
        </w:tc>
        <w:tc>
          <w:tcPr>
            <w:tcW w:type="dxa" w:w="3700"/>
            <w:tcMar>
              <w:top w:w="80" w:type="dxa"/>
              <w:bottom w:w="80" w:type="dxa"/>
              <w:start w:w="120" w:type="dxa"/>
              <w:end w:w="120" w:type="dxa"/>
            </w:tcMar>
            <w:vAlign w:val="center"/>
          </w:tcPr>
          <w:p>
            <w:r>
              <w:rPr>
                <w:rFonts w:ascii="Calibri" w:hAnsi="Calibri"/>
                <w:b w:val="0"/>
                <w:i w:val="0"/>
                <w:sz w:val="17"/>
              </w:rPr>
              <w:t>Q4 risk-report email (Jan. 10, 4:47 PM)</w:t>
            </w:r>
          </w:p>
        </w:tc>
        <w:tc>
          <w:tcPr>
            <w:tcW w:type="dxa" w:w="5060"/>
            <w:tcMar>
              <w:top w:w="80" w:type="dxa"/>
              <w:bottom w:w="80" w:type="dxa"/>
              <w:start w:w="120" w:type="dxa"/>
              <w:end w:w="120" w:type="dxa"/>
            </w:tcMar>
            <w:vAlign w:val="center"/>
          </w:tcPr>
          <w:p>
            <w:r>
              <w:rPr>
                <w:rFonts w:ascii="Calibri" w:hAnsi="Calibri"/>
                <w:b w:val="0"/>
                <w:i w:val="0"/>
                <w:sz w:val="17"/>
              </w:rPr>
              <w:t>Impeach alleged five-day lateness</w:t>
            </w:r>
          </w:p>
        </w:tc>
      </w:tr>
      <w:tr>
        <w:trPr>
          <w:cantSplit/>
        </w:trPr>
        <w:tc>
          <w:tcPr>
            <w:tcW w:type="dxa" w:w="600"/>
            <w:tcMar>
              <w:top w:w="80" w:type="dxa"/>
              <w:bottom w:w="80" w:type="dxa"/>
              <w:start w:w="120" w:type="dxa"/>
              <w:end w:w="120" w:type="dxa"/>
            </w:tcMar>
            <w:vAlign w:val="center"/>
          </w:tcPr>
          <w:p>
            <w:r>
              <w:rPr>
                <w:rFonts w:ascii="Calibri" w:hAnsi="Calibri"/>
                <w:b/>
                <w:i w:val="0"/>
                <w:sz w:val="17"/>
              </w:rPr>
              <w:t>5</w:t>
            </w:r>
          </w:p>
        </w:tc>
        <w:tc>
          <w:tcPr>
            <w:tcW w:type="dxa" w:w="3700"/>
            <w:tcMar>
              <w:top w:w="80" w:type="dxa"/>
              <w:bottom w:w="80" w:type="dxa"/>
              <w:start w:w="120" w:type="dxa"/>
              <w:end w:w="120" w:type="dxa"/>
            </w:tcMar>
            <w:vAlign w:val="center"/>
          </w:tcPr>
          <w:p>
            <w:r>
              <w:rPr>
                <w:rFonts w:ascii="Calibri" w:hAnsi="Calibri"/>
                <w:b w:val="0"/>
                <w:i w:val="0"/>
                <w:sz w:val="17"/>
              </w:rPr>
              <w:t>IT Service Ticket SR-20231002-4471</w:t>
            </w:r>
          </w:p>
        </w:tc>
        <w:tc>
          <w:tcPr>
            <w:tcW w:type="dxa" w:w="5060"/>
            <w:tcMar>
              <w:top w:w="80" w:type="dxa"/>
              <w:bottom w:w="80" w:type="dxa"/>
              <w:start w:w="120" w:type="dxa"/>
              <w:end w:w="120" w:type="dxa"/>
            </w:tcMar>
            <w:vAlign w:val="center"/>
          </w:tcPr>
          <w:p>
            <w:r>
              <w:rPr>
                <w:rFonts w:ascii="Calibri" w:hAnsi="Calibri"/>
                <w:b w:val="0"/>
                <w:i w:val="0"/>
                <w:sz w:val="17"/>
              </w:rPr>
              <w:t>Q3 outage and two-business-day extension</w:t>
            </w:r>
          </w:p>
        </w:tc>
      </w:tr>
      <w:tr>
        <w:trPr>
          <w:cantSplit/>
        </w:trPr>
        <w:tc>
          <w:tcPr>
            <w:tcW w:type="dxa" w:w="600"/>
            <w:tcMar>
              <w:top w:w="80" w:type="dxa"/>
              <w:bottom w:w="80" w:type="dxa"/>
              <w:start w:w="120" w:type="dxa"/>
              <w:end w:w="120" w:type="dxa"/>
            </w:tcMar>
            <w:vAlign w:val="center"/>
          </w:tcPr>
          <w:p>
            <w:r>
              <w:rPr>
                <w:rFonts w:ascii="Calibri" w:hAnsi="Calibri"/>
                <w:b/>
                <w:i w:val="0"/>
                <w:sz w:val="17"/>
              </w:rPr>
              <w:t>6</w:t>
            </w:r>
          </w:p>
        </w:tc>
        <w:tc>
          <w:tcPr>
            <w:tcW w:type="dxa" w:w="3700"/>
            <w:tcMar>
              <w:top w:w="80" w:type="dxa"/>
              <w:bottom w:w="80" w:type="dxa"/>
              <w:start w:w="120" w:type="dxa"/>
              <w:end w:w="120" w:type="dxa"/>
            </w:tcMar>
            <w:vAlign w:val="center"/>
          </w:tcPr>
          <w:p>
            <w:r>
              <w:rPr>
                <w:rFonts w:ascii="Calibri" w:hAnsi="Calibri"/>
                <w:b w:val="0"/>
                <w:i w:val="0"/>
                <w:sz w:val="17"/>
              </w:rPr>
              <w:t>SVP performance data - 2023</w:t>
            </w:r>
          </w:p>
        </w:tc>
        <w:tc>
          <w:tcPr>
            <w:tcW w:type="dxa" w:w="5060"/>
            <w:tcMar>
              <w:top w:w="80" w:type="dxa"/>
              <w:bottom w:w="80" w:type="dxa"/>
              <w:start w:w="120" w:type="dxa"/>
              <w:end w:w="120" w:type="dxa"/>
            </w:tcMar>
            <w:vAlign w:val="center"/>
          </w:tcPr>
          <w:p>
            <w:r>
              <w:rPr>
                <w:rFonts w:ascii="Calibri" w:hAnsi="Calibri"/>
                <w:b w:val="0"/>
                <w:i w:val="0"/>
                <w:sz w:val="17"/>
              </w:rPr>
              <w:t>Langley/Kowalski comparator metrics and division averages</w:t>
            </w:r>
          </w:p>
        </w:tc>
      </w:tr>
      <w:tr>
        <w:trPr>
          <w:cantSplit/>
        </w:trPr>
        <w:tc>
          <w:tcPr>
            <w:tcW w:type="dxa" w:w="600"/>
            <w:tcMar>
              <w:top w:w="80" w:type="dxa"/>
              <w:bottom w:w="80" w:type="dxa"/>
              <w:start w:w="120" w:type="dxa"/>
              <w:end w:w="120" w:type="dxa"/>
            </w:tcMar>
            <w:vAlign w:val="center"/>
          </w:tcPr>
          <w:p>
            <w:r>
              <w:rPr>
                <w:rFonts w:ascii="Calibri" w:hAnsi="Calibri"/>
                <w:b/>
                <w:i w:val="0"/>
                <w:sz w:val="17"/>
              </w:rPr>
              <w:t>7</w:t>
            </w:r>
          </w:p>
        </w:tc>
        <w:tc>
          <w:tcPr>
            <w:tcW w:type="dxa" w:w="3700"/>
            <w:tcMar>
              <w:top w:w="80" w:type="dxa"/>
              <w:bottom w:w="80" w:type="dxa"/>
              <w:start w:w="120" w:type="dxa"/>
              <w:end w:w="120" w:type="dxa"/>
            </w:tcMar>
            <w:vAlign w:val="center"/>
          </w:tcPr>
          <w:p>
            <w:r>
              <w:rPr>
                <w:rFonts w:ascii="Calibri" w:hAnsi="Calibri"/>
                <w:b w:val="0"/>
                <w:i w:val="0"/>
                <w:sz w:val="17"/>
              </w:rPr>
              <w:t>Whitford-Cho email chain (Feb. 18)</w:t>
            </w:r>
          </w:p>
        </w:tc>
        <w:tc>
          <w:tcPr>
            <w:tcW w:type="dxa" w:w="5060"/>
            <w:tcMar>
              <w:top w:w="80" w:type="dxa"/>
              <w:bottom w:w="80" w:type="dxa"/>
              <w:start w:w="120" w:type="dxa"/>
              <w:end w:w="120" w:type="dxa"/>
            </w:tcMar>
            <w:vAlign w:val="center"/>
          </w:tcPr>
          <w:p>
            <w:r>
              <w:rPr>
                <w:rFonts w:ascii="Calibri" w:hAnsi="Calibri"/>
                <w:b w:val="0"/>
                <w:i w:val="0"/>
                <w:sz w:val="17"/>
              </w:rPr>
              <w:t>Lock-in impeachment; motive; Cho knowledge</w:t>
            </w:r>
          </w:p>
        </w:tc>
      </w:tr>
      <w:tr>
        <w:trPr>
          <w:cantSplit/>
        </w:trPr>
        <w:tc>
          <w:tcPr>
            <w:tcW w:type="dxa" w:w="600"/>
            <w:tcMar>
              <w:top w:w="80" w:type="dxa"/>
              <w:bottom w:w="80" w:type="dxa"/>
              <w:start w:w="120" w:type="dxa"/>
              <w:end w:w="120" w:type="dxa"/>
            </w:tcMar>
            <w:vAlign w:val="center"/>
          </w:tcPr>
          <w:p>
            <w:r>
              <w:rPr>
                <w:rFonts w:ascii="Calibri" w:hAnsi="Calibri"/>
                <w:b/>
                <w:i w:val="0"/>
                <w:sz w:val="17"/>
              </w:rPr>
              <w:t>8</w:t>
            </w:r>
          </w:p>
        </w:tc>
        <w:tc>
          <w:tcPr>
            <w:tcW w:type="dxa" w:w="3700"/>
            <w:tcMar>
              <w:top w:w="80" w:type="dxa"/>
              <w:bottom w:w="80" w:type="dxa"/>
              <w:start w:w="120" w:type="dxa"/>
              <w:end w:w="120" w:type="dxa"/>
            </w:tcMar>
            <w:vAlign w:val="center"/>
          </w:tcPr>
          <w:p>
            <w:r>
              <w:rPr>
                <w:rFonts w:ascii="Calibri" w:hAnsi="Calibri"/>
                <w:b w:val="0"/>
                <w:i w:val="0"/>
                <w:sz w:val="17"/>
              </w:rPr>
              <w:t>Performance Improvement Plan (Feb. 20)</w:t>
            </w:r>
          </w:p>
        </w:tc>
        <w:tc>
          <w:tcPr>
            <w:tcW w:type="dxa" w:w="5060"/>
            <w:tcMar>
              <w:top w:w="80" w:type="dxa"/>
              <w:bottom w:w="80" w:type="dxa"/>
              <w:start w:w="120" w:type="dxa"/>
              <w:end w:w="120" w:type="dxa"/>
            </w:tcMar>
            <w:vAlign w:val="center"/>
          </w:tcPr>
          <w:p>
            <w:r>
              <w:rPr>
                <w:rFonts w:ascii="Calibri" w:hAnsi="Calibri"/>
                <w:b w:val="0"/>
                <w:i w:val="0"/>
                <w:sz w:val="17"/>
              </w:rPr>
              <w:t>Grounds, 30-day period, March 21 end, protest notation</w:t>
            </w:r>
          </w:p>
        </w:tc>
      </w:tr>
      <w:tr>
        <w:trPr>
          <w:cantSplit/>
        </w:trPr>
        <w:tc>
          <w:tcPr>
            <w:tcW w:type="dxa" w:w="600"/>
            <w:tcMar>
              <w:top w:w="80" w:type="dxa"/>
              <w:bottom w:w="80" w:type="dxa"/>
              <w:start w:w="120" w:type="dxa"/>
              <w:end w:w="120" w:type="dxa"/>
            </w:tcMar>
            <w:vAlign w:val="center"/>
          </w:tcPr>
          <w:p>
            <w:r>
              <w:rPr>
                <w:rFonts w:ascii="Calibri" w:hAnsi="Calibri"/>
                <w:b/>
                <w:i w:val="0"/>
                <w:sz w:val="17"/>
              </w:rPr>
              <w:t>9</w:t>
            </w:r>
          </w:p>
        </w:tc>
        <w:tc>
          <w:tcPr>
            <w:tcW w:type="dxa" w:w="3700"/>
            <w:tcMar>
              <w:top w:w="80" w:type="dxa"/>
              <w:bottom w:w="80" w:type="dxa"/>
              <w:start w:w="120" w:type="dxa"/>
              <w:end w:w="120" w:type="dxa"/>
            </w:tcMar>
            <w:vAlign w:val="center"/>
          </w:tcPr>
          <w:p>
            <w:r>
              <w:rPr>
                <w:rFonts w:ascii="Calibri" w:hAnsi="Calibri"/>
                <w:b w:val="0"/>
                <w:i w:val="0"/>
                <w:sz w:val="17"/>
              </w:rPr>
              <w:t>EEO/anti-retaliation policy HR-POL-007</w:t>
            </w:r>
          </w:p>
        </w:tc>
        <w:tc>
          <w:tcPr>
            <w:tcW w:type="dxa" w:w="5060"/>
            <w:tcMar>
              <w:top w:w="80" w:type="dxa"/>
              <w:bottom w:w="80" w:type="dxa"/>
              <w:start w:w="120" w:type="dxa"/>
              <w:end w:w="120" w:type="dxa"/>
            </w:tcMar>
            <w:vAlign w:val="center"/>
          </w:tcPr>
          <w:p>
            <w:r>
              <w:rPr>
                <w:rFonts w:ascii="Calibri" w:hAnsi="Calibri"/>
                <w:b w:val="0"/>
                <w:i w:val="0"/>
                <w:sz w:val="17"/>
              </w:rPr>
              <w:t>Section 7.4 approval; training; comparator review</w:t>
            </w:r>
          </w:p>
        </w:tc>
      </w:tr>
      <w:tr>
        <w:trPr>
          <w:cantSplit/>
        </w:trPr>
        <w:tc>
          <w:tcPr>
            <w:tcW w:type="dxa" w:w="600"/>
            <w:tcMar>
              <w:top w:w="80" w:type="dxa"/>
              <w:bottom w:w="80" w:type="dxa"/>
              <w:start w:w="120" w:type="dxa"/>
              <w:end w:w="120" w:type="dxa"/>
            </w:tcMar>
            <w:vAlign w:val="center"/>
          </w:tcPr>
          <w:p>
            <w:r>
              <w:rPr>
                <w:rFonts w:ascii="Calibri" w:hAnsi="Calibri"/>
                <w:b/>
                <w:i w:val="0"/>
                <w:sz w:val="17"/>
              </w:rPr>
              <w:t>10</w:t>
            </w:r>
          </w:p>
        </w:tc>
        <w:tc>
          <w:tcPr>
            <w:tcW w:type="dxa" w:w="3700"/>
            <w:tcMar>
              <w:top w:w="80" w:type="dxa"/>
              <w:bottom w:w="80" w:type="dxa"/>
              <w:start w:w="120" w:type="dxa"/>
              <w:end w:w="120" w:type="dxa"/>
            </w:tcMar>
            <w:vAlign w:val="center"/>
          </w:tcPr>
          <w:p>
            <w:r>
              <w:rPr>
                <w:rFonts w:ascii="Calibri" w:hAnsi="Calibri"/>
                <w:b w:val="0"/>
                <w:i w:val="0"/>
                <w:sz w:val="17"/>
              </w:rPr>
              <w:t>Termination letter (Mar. 14)</w:t>
            </w:r>
          </w:p>
        </w:tc>
        <w:tc>
          <w:tcPr>
            <w:tcW w:type="dxa" w:w="5060"/>
            <w:tcMar>
              <w:top w:w="80" w:type="dxa"/>
              <w:bottom w:w="80" w:type="dxa"/>
              <w:start w:w="120" w:type="dxa"/>
              <w:end w:w="120" w:type="dxa"/>
            </w:tcMar>
            <w:vAlign w:val="center"/>
          </w:tcPr>
          <w:p>
            <w:r>
              <w:rPr>
                <w:rFonts w:ascii="Calibri" w:hAnsi="Calibri"/>
                <w:b w:val="0"/>
                <w:i w:val="0"/>
                <w:sz w:val="17"/>
              </w:rPr>
              <w:t>Sole reasons, early termination, decision participants</w:t>
            </w:r>
          </w:p>
        </w:tc>
      </w:tr>
      <w:tr>
        <w:trPr>
          <w:cantSplit/>
        </w:trPr>
        <w:tc>
          <w:tcPr>
            <w:tcW w:type="dxa" w:w="600"/>
            <w:tcMar>
              <w:top w:w="80" w:type="dxa"/>
              <w:bottom w:w="80" w:type="dxa"/>
              <w:start w:w="120" w:type="dxa"/>
              <w:end w:w="120" w:type="dxa"/>
            </w:tcMar>
            <w:vAlign w:val="center"/>
          </w:tcPr>
          <w:p>
            <w:r>
              <w:rPr>
                <w:rFonts w:ascii="Calibri" w:hAnsi="Calibri"/>
                <w:b/>
                <w:i w:val="0"/>
                <w:sz w:val="17"/>
              </w:rPr>
              <w:t>11</w:t>
            </w:r>
          </w:p>
        </w:tc>
        <w:tc>
          <w:tcPr>
            <w:tcW w:type="dxa" w:w="3700"/>
            <w:tcMar>
              <w:top w:w="80" w:type="dxa"/>
              <w:bottom w:w="80" w:type="dxa"/>
              <w:start w:w="120" w:type="dxa"/>
              <w:end w:w="120" w:type="dxa"/>
            </w:tcMar>
            <w:vAlign w:val="center"/>
          </w:tcPr>
          <w:p>
            <w:r>
              <w:rPr>
                <w:rFonts w:ascii="Calibri" w:hAnsi="Calibri"/>
                <w:b w:val="0"/>
                <w:i w:val="0"/>
                <w:sz w:val="17"/>
              </w:rPr>
              <w:t>Whitford personnel file / Yazzie complaint</w:t>
            </w:r>
          </w:p>
        </w:tc>
        <w:tc>
          <w:tcPr>
            <w:tcW w:type="dxa" w:w="5060"/>
            <w:tcMar>
              <w:top w:w="80" w:type="dxa"/>
              <w:bottom w:w="80" w:type="dxa"/>
              <w:start w:w="120" w:type="dxa"/>
              <w:end w:w="120" w:type="dxa"/>
            </w:tcMar>
            <w:vAlign w:val="center"/>
          </w:tcPr>
          <w:p>
            <w:r>
              <w:rPr>
                <w:rFonts w:ascii="Calibri" w:hAnsi="Calibri"/>
                <w:b w:val="0"/>
                <w:i w:val="0"/>
                <w:sz w:val="17"/>
              </w:rPr>
              <w:t>Prior similar conduct and 2017 counseling</w:t>
            </w:r>
          </w:p>
        </w:tc>
      </w:tr>
      <w:tr>
        <w:trPr>
          <w:cantSplit/>
        </w:trPr>
        <w:tc>
          <w:tcPr>
            <w:tcW w:type="dxa" w:w="600"/>
            <w:tcMar>
              <w:top w:w="80" w:type="dxa"/>
              <w:bottom w:w="80" w:type="dxa"/>
              <w:start w:w="120" w:type="dxa"/>
              <w:end w:w="120" w:type="dxa"/>
            </w:tcMar>
            <w:vAlign w:val="center"/>
          </w:tcPr>
          <w:p>
            <w:r>
              <w:rPr>
                <w:rFonts w:ascii="Calibri" w:hAnsi="Calibri"/>
                <w:b/>
                <w:i w:val="0"/>
                <w:sz w:val="17"/>
              </w:rPr>
              <w:t>12</w:t>
            </w:r>
          </w:p>
        </w:tc>
        <w:tc>
          <w:tcPr>
            <w:tcW w:type="dxa" w:w="3700"/>
            <w:tcMar>
              <w:top w:w="80" w:type="dxa"/>
              <w:bottom w:w="80" w:type="dxa"/>
              <w:start w:w="120" w:type="dxa"/>
              <w:end w:w="120" w:type="dxa"/>
            </w:tcMar>
            <w:vAlign w:val="center"/>
          </w:tcPr>
          <w:p>
            <w:r>
              <w:rPr>
                <w:rFonts w:ascii="Calibri" w:hAnsi="Calibri"/>
                <w:b w:val="0"/>
                <w:i w:val="0"/>
                <w:sz w:val="17"/>
              </w:rPr>
              <w:t>First Amended Complaint</w:t>
            </w:r>
          </w:p>
        </w:tc>
        <w:tc>
          <w:tcPr>
            <w:tcW w:type="dxa" w:w="5060"/>
            <w:tcMar>
              <w:top w:w="80" w:type="dxa"/>
              <w:bottom w:w="80" w:type="dxa"/>
              <w:start w:w="120" w:type="dxa"/>
              <w:end w:w="120" w:type="dxa"/>
            </w:tcMar>
            <w:vAlign w:val="center"/>
          </w:tcPr>
          <w:p>
            <w:r>
              <w:rPr>
                <w:rFonts w:ascii="Calibri" w:hAnsi="Calibri"/>
                <w:b w:val="0"/>
                <w:i w:val="0"/>
                <w:sz w:val="17"/>
              </w:rPr>
              <w:t>Claim map and cleanup; use only if needed</w:t>
            </w:r>
          </w:p>
        </w:tc>
      </w:tr>
    </w:tbl>
    <w:p>
      <w:pPr>
        <w:spacing w:after="40"/>
      </w:pPr>
    </w:p>
    <w:p>
      <w:pPr>
        <w:pStyle w:val="Heading1"/>
      </w:pPr>
      <w:r>
        <w:t>Examination outline</w:t>
      </w:r>
    </w:p>
    <w:p>
      <w:pPr>
        <w:pStyle w:val="Heading2"/>
      </w:pPr>
      <w:r>
        <w:t>1. Background, authority, and document control</w:t>
      </w:r>
    </w:p>
    <w:p>
      <w:pPr>
        <w:pStyle w:val="StrategyNote"/>
        <w:keepLines/>
      </w:pPr>
      <w:r>
        <w:rPr>
          <w:rFonts w:ascii="Calibri" w:hAnsi="Calibri"/>
          <w:b/>
          <w:i w:val="0"/>
          <w:color w:val="1F4D78"/>
          <w:sz w:val="19"/>
        </w:rPr>
        <w:t xml:space="preserve">Target admission: </w:t>
      </w:r>
      <w:r>
        <w:rPr>
          <w:rFonts w:ascii="Calibri" w:hAnsi="Calibri"/>
          <w:b w:val="0"/>
          <w:i w:val="0"/>
          <w:color w:val="667085"/>
          <w:sz w:val="19"/>
        </w:rPr>
        <w:t>Whitford supervised Delgado-Reyes, controlled her review/PIP recommendation, recommended termination, and possessed the relevant bank records.</w:t>
      </w:r>
    </w:p>
    <w:p>
      <w:pPr>
        <w:pStyle w:val="StrategyNote"/>
        <w:keepLines/>
      </w:pPr>
      <w:r>
        <w:rPr>
          <w:rFonts w:ascii="Calibri" w:hAnsi="Calibri"/>
          <w:b/>
          <w:i w:val="0"/>
          <w:color w:val="1F4D78"/>
          <w:sz w:val="19"/>
        </w:rPr>
        <w:t xml:space="preserve">Documents: </w:t>
      </w:r>
      <w:r>
        <w:rPr>
          <w:rFonts w:ascii="Calibri" w:hAnsi="Calibri"/>
          <w:b w:val="0"/>
          <w:i w:val="0"/>
          <w:color w:val="667085"/>
          <w:sz w:val="19"/>
        </w:rPr>
        <w:t>Exs. 2, 3, 8, 10; organizational and signature pages.</w:t>
      </w:r>
    </w:p>
    <w:p>
      <w:pPr>
        <w:pStyle w:val="StrategyNote"/>
        <w:keepLines/>
      </w:pPr>
      <w:r>
        <w:rPr>
          <w:rFonts w:ascii="Calibri" w:hAnsi="Calibri"/>
          <w:b/>
          <w:i w:val="0"/>
          <w:color w:val="1F4D78"/>
          <w:sz w:val="19"/>
        </w:rPr>
        <w:t xml:space="preserve">Sequence: </w:t>
      </w:r>
      <w:r>
        <w:rPr>
          <w:rFonts w:ascii="Calibri" w:hAnsi="Calibri"/>
          <w:b w:val="0"/>
          <w:i/>
          <w:color w:val="667085"/>
          <w:sz w:val="19"/>
        </w:rPr>
        <w:t>Start open-ended and nonconfrontational. Establish vocabulary, authority, custodians, and systems before merits questions.</w:t>
      </w:r>
    </w:p>
    <w:p>
      <w:pPr>
        <w:numPr>
          <w:ilvl w:val="0"/>
          <w:numId w:val="10"/>
        </w:numPr>
        <w:pStyle w:val="Question"/>
        <w:keepLines/>
      </w:pPr>
      <w:r>
        <w:rPr>
          <w:rFonts w:ascii="Calibri" w:hAnsi="Calibri"/>
          <w:b/>
          <w:i w:val="0"/>
          <w:color w:val="1F4D78"/>
          <w:sz w:val="19"/>
        </w:rPr>
        <w:t xml:space="preserve">[OPEN] </w:t>
      </w:r>
      <w:r>
        <w:rPr>
          <w:rFonts w:ascii="Calibri" w:hAnsi="Calibri"/>
          <w:b w:val="0"/>
          <w:i w:val="0"/>
          <w:sz w:val="21"/>
        </w:rPr>
        <w:t>Please state your full name, current position, and responsibilities as Regional President of the Southwest Division.</w:t>
      </w:r>
    </w:p>
    <w:p>
      <w:pPr>
        <w:numPr>
          <w:ilvl w:val="0"/>
          <w:numId w:val="10"/>
        </w:numPr>
        <w:pStyle w:val="Question"/>
        <w:keepLines/>
      </w:pPr>
      <w:r>
        <w:rPr>
          <w:rFonts w:ascii="Calibri" w:hAnsi="Calibri"/>
          <w:b/>
          <w:i w:val="0"/>
          <w:color w:val="1F4D78"/>
          <w:sz w:val="19"/>
        </w:rPr>
        <w:t xml:space="preserve">[OPEN] </w:t>
      </w:r>
      <w:r>
        <w:rPr>
          <w:rFonts w:ascii="Calibri" w:hAnsi="Calibri"/>
          <w:b w:val="0"/>
          <w:i w:val="0"/>
          <w:sz w:val="21"/>
        </w:rPr>
        <w:t>Describe the employees and functions that reported to you in 2023 and early 2024.</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Mariana Delgado-Reyes reported directly to you from July 2019 through March 14, 2024, correct?</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You were responsible for evaluating her performance, approving or recommending discipline, and signing her PIP and termination letter, correct?</w:t>
      </w:r>
    </w:p>
    <w:p>
      <w:pPr>
        <w:numPr>
          <w:ilvl w:val="0"/>
          <w:numId w:val="10"/>
        </w:numPr>
        <w:pStyle w:val="Question"/>
        <w:keepLines/>
      </w:pPr>
      <w:r>
        <w:rPr>
          <w:rFonts w:ascii="Calibri" w:hAnsi="Calibri"/>
          <w:b/>
          <w:i w:val="0"/>
          <w:color w:val="1F4D78"/>
          <w:sz w:val="19"/>
        </w:rPr>
        <w:t xml:space="preserve">[OPEN] </w:t>
      </w:r>
      <w:r>
        <w:rPr>
          <w:rFonts w:ascii="Calibri" w:hAnsi="Calibri"/>
          <w:b w:val="0"/>
          <w:i w:val="0"/>
          <w:sz w:val="21"/>
        </w:rPr>
        <w:t>Who had authority to place an SVP on a PIP, and what approvals were required?</w:t>
      </w:r>
    </w:p>
    <w:p>
      <w:pPr>
        <w:numPr>
          <w:ilvl w:val="0"/>
          <w:numId w:val="10"/>
        </w:numPr>
        <w:pStyle w:val="Question"/>
        <w:keepLines/>
      </w:pPr>
      <w:r>
        <w:rPr>
          <w:rFonts w:ascii="Calibri" w:hAnsi="Calibri"/>
          <w:b/>
          <w:i w:val="0"/>
          <w:color w:val="1F4D78"/>
          <w:sz w:val="19"/>
        </w:rPr>
        <w:t xml:space="preserve">[OPEN] </w:t>
      </w:r>
      <w:r>
        <w:rPr>
          <w:rFonts w:ascii="Calibri" w:hAnsi="Calibri"/>
          <w:b w:val="0"/>
          <w:i w:val="0"/>
          <w:sz w:val="21"/>
        </w:rPr>
        <w:t>Who had authority to terminate an SVP, and what role did you play in initiating that process?</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Identify every person who participated in the February 20 PIP decision and the March 14 termination decision.</w:t>
      </w:r>
    </w:p>
    <w:p>
      <w:pPr>
        <w:numPr>
          <w:ilvl w:val="0"/>
          <w:numId w:val="10"/>
        </w:numPr>
        <w:pStyle w:val="Question"/>
        <w:keepLines/>
      </w:pPr>
      <w:r>
        <w:rPr>
          <w:rFonts w:ascii="Calibri" w:hAnsi="Calibri"/>
          <w:b/>
          <w:i w:val="0"/>
          <w:color w:val="1F4D78"/>
          <w:sz w:val="19"/>
        </w:rPr>
        <w:t xml:space="preserve">[OPEN] </w:t>
      </w:r>
      <w:r>
        <w:rPr>
          <w:rFonts w:ascii="Calibri" w:hAnsi="Calibri"/>
          <w:b w:val="0"/>
          <w:i w:val="0"/>
          <w:sz w:val="21"/>
        </w:rPr>
        <w:t>What records did you ordinarily consult before stating that a report was late, a target was missed, or a comparator was differently situated?</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Your corporate email, LoanStar records, HR files, and SVP performance data were available to you or your staff in February 2024, correct?</w:t>
      </w:r>
    </w:p>
    <w:p>
      <w:pPr>
        <w:pStyle w:val="Heading2"/>
      </w:pPr>
      <w:r>
        <w:t>2. Policy knowledge, training, and anti-retaliation safeguards</w:t>
      </w:r>
    </w:p>
    <w:p>
      <w:pPr>
        <w:pStyle w:val="StrategyNote"/>
        <w:keepLines/>
      </w:pPr>
      <w:r>
        <w:rPr>
          <w:rFonts w:ascii="Calibri" w:hAnsi="Calibri"/>
          <w:b/>
          <w:i w:val="0"/>
          <w:color w:val="1F4D78"/>
          <w:sz w:val="19"/>
        </w:rPr>
        <w:t xml:space="preserve">Target admission: </w:t>
      </w:r>
      <w:r>
        <w:rPr>
          <w:rFonts w:ascii="Calibri" w:hAnsi="Calibri"/>
          <w:b w:val="0"/>
          <w:i w:val="0"/>
          <w:color w:val="667085"/>
          <w:sz w:val="19"/>
        </w:rPr>
        <w:t>Whitford knew retaliation was unlawful; knew PIPs and negative reviews were adverse actions; knew Section 7.4 required prior joint written CHRO/GC approval within 90 days; and proceeded despite that knowledge.</w:t>
      </w:r>
    </w:p>
    <w:p>
      <w:pPr>
        <w:pStyle w:val="StrategyNote"/>
        <w:keepLines/>
      </w:pPr>
      <w:r>
        <w:rPr>
          <w:rFonts w:ascii="Calibri" w:hAnsi="Calibri"/>
          <w:b/>
          <w:i w:val="0"/>
          <w:color w:val="1F4D78"/>
          <w:sz w:val="19"/>
        </w:rPr>
        <w:t xml:space="preserve">Documents: </w:t>
      </w:r>
      <w:r>
        <w:rPr>
          <w:rFonts w:ascii="Calibri" w:hAnsi="Calibri"/>
          <w:b w:val="0"/>
          <w:i w:val="0"/>
          <w:color w:val="667085"/>
          <w:sz w:val="19"/>
        </w:rPr>
        <w:t>Ex. 9, Ridgeline EEO/Anti-Retaliation Policy §§7.2.3, 7.4, 7.6 and annual acknowledgment provisions.</w:t>
      </w:r>
    </w:p>
    <w:p>
      <w:pPr>
        <w:pStyle w:val="StrategyNote"/>
        <w:keepLines/>
      </w:pPr>
      <w:r>
        <w:rPr>
          <w:rFonts w:ascii="Calibri" w:hAnsi="Calibri"/>
          <w:b/>
          <w:i w:val="0"/>
          <w:color w:val="1F4D78"/>
          <w:sz w:val="19"/>
        </w:rPr>
        <w:t xml:space="preserve">Sequence: </w:t>
      </w:r>
      <w:r>
        <w:rPr>
          <w:rFonts w:ascii="Calibri" w:hAnsi="Calibri"/>
          <w:b w:val="0"/>
          <w:i/>
          <w:color w:val="667085"/>
          <w:sz w:val="19"/>
        </w:rPr>
        <w:t>Obtain knowledge and training admissions before asking whether approval exists. Do not ask for a legal conclusion; ask about training, required steps, and conduct.</w:t>
      </w:r>
    </w:p>
    <w:p>
      <w:pPr>
        <w:numPr>
          <w:ilvl w:val="0"/>
          <w:numId w:val="10"/>
        </w:numPr>
        <w:pStyle w:val="Question"/>
        <w:keepLines/>
      </w:pPr>
      <w:r>
        <w:rPr>
          <w:rFonts w:ascii="Calibri" w:hAnsi="Calibri"/>
          <w:b/>
          <w:i w:val="0"/>
          <w:color w:val="1F4D78"/>
          <w:sz w:val="19"/>
        </w:rPr>
        <w:t xml:space="preserve">[OPEN] </w:t>
      </w:r>
      <w:r>
        <w:rPr>
          <w:rFonts w:ascii="Calibri" w:hAnsi="Calibri"/>
          <w:b w:val="0"/>
          <w:i w:val="0"/>
          <w:sz w:val="21"/>
        </w:rPr>
        <w:t>Describe the anti-discrimination and anti-retaliation training you completed as a Regional President before January 2024.</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You understood that an employee's good-faith discrimination complaint is protected even if HR later calls it unsubstantiated, correct?</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You understood that a negative review, PIP, or termination shortly after a complaint could constitute retaliation, correct?</w:t>
      </w:r>
    </w:p>
    <w:p>
      <w:pPr>
        <w:numPr>
          <w:ilvl w:val="0"/>
          <w:numId w:val="10"/>
        </w:numPr>
        <w:pStyle w:val="Question"/>
        <w:keepLines/>
      </w:pPr>
      <w:r>
        <w:rPr>
          <w:rFonts w:ascii="Calibri" w:hAnsi="Calibri"/>
          <w:b/>
          <w:i w:val="0"/>
          <w:color w:val="1F4D78"/>
          <w:sz w:val="19"/>
        </w:rPr>
        <w:t xml:space="preserve">[EXHIBIT] </w:t>
      </w:r>
      <w:r>
        <w:rPr>
          <w:rFonts w:ascii="Calibri" w:hAnsi="Calibri"/>
          <w:b w:val="0"/>
          <w:i w:val="0"/>
          <w:sz w:val="21"/>
        </w:rPr>
        <w:t>Please turn to Ex. 9, Section 7.4.1. This policy covered you and Delgado-Reyes in January through March 2024, correct?</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Section 7.4.1 prohibited an adverse action within 90 days of a complaint without prior written approval from both the Chief Human Resources Officer and General Counsel, correct?</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The protected period ran from January 8 through at least April 7, regardless of the February 12 investigation result, correct?</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The February 5 review, February 20 PIP, and March 14 termination all occurred within that 90-day period, correct?</w:t>
      </w:r>
    </w:p>
    <w:p>
      <w:pPr>
        <w:numPr>
          <w:ilvl w:val="0"/>
          <w:numId w:val="10"/>
        </w:numPr>
        <w:pStyle w:val="Question"/>
        <w:keepLines/>
      </w:pPr>
      <w:r>
        <w:rPr>
          <w:rFonts w:ascii="Calibri" w:hAnsi="Calibri"/>
          <w:b/>
          <w:i w:val="0"/>
          <w:color w:val="1F4D78"/>
          <w:sz w:val="19"/>
        </w:rPr>
        <w:t xml:space="preserve">[OPEN] </w:t>
      </w:r>
      <w:r>
        <w:rPr>
          <w:rFonts w:ascii="Calibri" w:hAnsi="Calibri"/>
          <w:b w:val="0"/>
          <w:i w:val="0"/>
          <w:sz w:val="21"/>
        </w:rPr>
        <w:t>What written memorandum did you submit under Section 7.4.2 before the review, PIP, or termination?</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Identify the joint written CHRO and General Counsel approval for each action.</w:t>
      </w:r>
    </w:p>
    <w:p>
      <w:pPr>
        <w:numPr>
          <w:ilvl w:val="0"/>
          <w:numId w:val="10"/>
        </w:numPr>
        <w:pStyle w:val="Question"/>
        <w:keepLines/>
      </w:pPr>
      <w:r>
        <w:rPr>
          <w:rFonts w:ascii="Calibri" w:hAnsi="Calibri"/>
          <w:b/>
          <w:i w:val="0"/>
          <w:color w:val="1F4D78"/>
          <w:sz w:val="19"/>
        </w:rPr>
        <w:t xml:space="preserve">[FOLLOW-UP] </w:t>
      </w:r>
      <w:r>
        <w:rPr>
          <w:rFonts w:ascii="Calibri" w:hAnsi="Calibri"/>
          <w:b w:val="0"/>
          <w:i w:val="0"/>
          <w:sz w:val="21"/>
        </w:rPr>
        <w:t>If you cannot identify one, is it your testimony that you took or recommended those actions without the written approval required by Section 7.4?</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You also knew Section 7.4.3 required pre-action comparator documentation and objective support, correct?</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You knew a Regional President could be disciplined for bypassing those safeguards regardless of whether the action was later deemed non-retaliatory, correct?</w:t>
      </w:r>
    </w:p>
    <w:p>
      <w:pPr>
        <w:numPr>
          <w:ilvl w:val="0"/>
          <w:numId w:val="10"/>
        </w:numPr>
        <w:pStyle w:val="Question"/>
        <w:keepLines/>
      </w:pPr>
      <w:r>
        <w:rPr>
          <w:rFonts w:ascii="Calibri" w:hAnsi="Calibri"/>
          <w:b/>
          <w:i w:val="0"/>
          <w:color w:val="1F4D78"/>
          <w:sz w:val="19"/>
        </w:rPr>
        <w:t xml:space="preserve">[PUNITIVE] </w:t>
      </w:r>
      <w:r>
        <w:rPr>
          <w:rFonts w:ascii="Calibri" w:hAnsi="Calibri"/>
          <w:b w:val="0"/>
          <w:i w:val="0"/>
          <w:sz w:val="21"/>
        </w:rPr>
        <w:t>Despite that training and knowledge, you proceeded with the PIP and termination during the protected period, correct?</w:t>
      </w:r>
    </w:p>
    <w:p>
      <w:pPr>
        <w:pStyle w:val="Heading2"/>
      </w:pPr>
      <w:r>
        <w:t>3. Pre-complaint performance record and review timing</w:t>
      </w:r>
    </w:p>
    <w:p>
      <w:pPr>
        <w:pStyle w:val="StrategyNote"/>
        <w:keepLines/>
      </w:pPr>
      <w:r>
        <w:rPr>
          <w:rFonts w:ascii="Calibri" w:hAnsi="Calibri"/>
          <w:b/>
          <w:i w:val="0"/>
          <w:color w:val="1F4D78"/>
          <w:sz w:val="19"/>
        </w:rPr>
        <w:t xml:space="preserve">Target admission: </w:t>
      </w:r>
      <w:r>
        <w:rPr>
          <w:rFonts w:ascii="Calibri" w:hAnsi="Calibri"/>
          <w:b w:val="0"/>
          <w:i w:val="0"/>
          <w:color w:val="667085"/>
          <w:sz w:val="19"/>
        </w:rPr>
        <w:t>Delgado-Reyes had a strong record; Whitford had not documented a PIP or termination plan before January 8; the 2023 review was drafted/finalized after the complaint and marked the first downgrade under him.</w:t>
      </w:r>
    </w:p>
    <w:p>
      <w:pPr>
        <w:pStyle w:val="StrategyNote"/>
        <w:keepLines/>
      </w:pPr>
      <w:r>
        <w:rPr>
          <w:rFonts w:ascii="Calibri" w:hAnsi="Calibri"/>
          <w:b/>
          <w:i w:val="0"/>
          <w:color w:val="1F4D78"/>
          <w:sz w:val="19"/>
        </w:rPr>
        <w:t xml:space="preserve">Documents: </w:t>
      </w:r>
      <w:r>
        <w:rPr>
          <w:rFonts w:ascii="Calibri" w:hAnsi="Calibri"/>
          <w:b w:val="0"/>
          <w:i w:val="0"/>
          <w:color w:val="667085"/>
          <w:sz w:val="19"/>
        </w:rPr>
        <w:t>Ex. 3, 2023 performance review; Ex. 2, HR report performance history; Ex. 6, SVP data.</w:t>
      </w:r>
    </w:p>
    <w:p>
      <w:pPr>
        <w:pStyle w:val="StrategyNote"/>
        <w:keepLines/>
      </w:pPr>
      <w:r>
        <w:rPr>
          <w:rFonts w:ascii="Calibri" w:hAnsi="Calibri"/>
          <w:b/>
          <w:i w:val="0"/>
          <w:color w:val="1F4D78"/>
          <w:sz w:val="19"/>
        </w:rPr>
        <w:t xml:space="preserve">Sequence: </w:t>
      </w:r>
      <w:r>
        <w:rPr>
          <w:rFonts w:ascii="Calibri" w:hAnsi="Calibri"/>
          <w:b w:val="0"/>
          <w:i/>
          <w:color w:val="667085"/>
          <w:sz w:val="19"/>
        </w:rPr>
        <w:t>Use open questions on the review process, then pin the date drafting began. Preserve 'I don't recall' by asking for drafts, metadata, communications, and custodians.</w:t>
      </w:r>
    </w:p>
    <w:p>
      <w:pPr>
        <w:numPr>
          <w:ilvl w:val="0"/>
          <w:numId w:val="10"/>
        </w:numPr>
        <w:pStyle w:val="Question"/>
        <w:keepLines/>
      </w:pPr>
      <w:r>
        <w:rPr>
          <w:rFonts w:ascii="Calibri" w:hAnsi="Calibri"/>
          <w:b/>
          <w:i w:val="0"/>
          <w:color w:val="1F4D78"/>
          <w:sz w:val="19"/>
        </w:rPr>
        <w:t xml:space="preserve">[OPEN] </w:t>
      </w:r>
      <w:r>
        <w:rPr>
          <w:rFonts w:ascii="Calibri" w:hAnsi="Calibri"/>
          <w:b w:val="0"/>
          <w:i w:val="0"/>
          <w:sz w:val="21"/>
        </w:rPr>
        <w:t>Describe Delgado-Reyes's performance history from 2013 through 2022.</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She received Exceeds Expectations in eight of ten completed annual reviews, correct?</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Under your supervision, she received Exceeds Expectations in 2019, 2020, and 2022, correct?</w:t>
      </w:r>
    </w:p>
    <w:p>
      <w:pPr>
        <w:numPr>
          <w:ilvl w:val="0"/>
          <w:numId w:val="10"/>
        </w:numPr>
        <w:pStyle w:val="Question"/>
        <w:keepLines/>
      </w:pPr>
      <w:r>
        <w:rPr>
          <w:rFonts w:ascii="Calibri" w:hAnsi="Calibri"/>
          <w:b/>
          <w:i w:val="0"/>
          <w:color w:val="1F4D78"/>
          <w:sz w:val="19"/>
        </w:rPr>
        <w:t xml:space="preserve">[OPEN] </w:t>
      </w:r>
      <w:r>
        <w:rPr>
          <w:rFonts w:ascii="Calibri" w:hAnsi="Calibri"/>
          <w:b w:val="0"/>
          <w:i w:val="0"/>
          <w:sz w:val="21"/>
        </w:rPr>
        <w:t>Before January 8, 2024, what written warning, discipline, PIP proposal, or termination recommendation had you made concerning her?</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Identify every document created before January 8 reflecting an intent to downgrade, PIP, or terminate her.</w:t>
      </w:r>
    </w:p>
    <w:p>
      <w:pPr>
        <w:numPr>
          <w:ilvl w:val="0"/>
          <w:numId w:val="10"/>
        </w:numPr>
        <w:pStyle w:val="Question"/>
        <w:keepLines/>
      </w:pPr>
      <w:r>
        <w:rPr>
          <w:rFonts w:ascii="Calibri" w:hAnsi="Calibri"/>
          <w:b/>
          <w:i w:val="0"/>
          <w:color w:val="1F4D78"/>
          <w:sz w:val="19"/>
        </w:rPr>
        <w:t xml:space="preserve">[OPEN] </w:t>
      </w:r>
      <w:r>
        <w:rPr>
          <w:rFonts w:ascii="Calibri" w:hAnsi="Calibri"/>
          <w:b w:val="0"/>
          <w:i w:val="0"/>
          <w:sz w:val="21"/>
        </w:rPr>
        <w:t>When did you first begin drafting the 2023 performance review that was finalized February 5?</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Was the first draft created before or after you learned of the January 8 complaint?</w:t>
      </w:r>
    </w:p>
    <w:p>
      <w:pPr>
        <w:numPr>
          <w:ilvl w:val="0"/>
          <w:numId w:val="10"/>
        </w:numPr>
        <w:pStyle w:val="Question"/>
        <w:keepLines/>
      </w:pPr>
      <w:r>
        <w:rPr>
          <w:rFonts w:ascii="Calibri" w:hAnsi="Calibri"/>
          <w:b/>
          <w:i w:val="0"/>
          <w:color w:val="1F4D78"/>
          <w:sz w:val="19"/>
        </w:rPr>
        <w:t xml:space="preserve">[EXHIBIT] </w:t>
      </w:r>
      <w:r>
        <w:rPr>
          <w:rFonts w:ascii="Calibri" w:hAnsi="Calibri"/>
          <w:b w:val="0"/>
          <w:i w:val="0"/>
          <w:sz w:val="21"/>
        </w:rPr>
        <w:t>Ex. 3 assigns Meets Expectations and cites a 2.4% delinquency rate, $42.3 million originations, and late reports. Those were your stated criticisms, correct?</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The review was the first rating below Exceeds Expectations that you gave her, correct?</w:t>
      </w:r>
    </w:p>
    <w:p>
      <w:pPr>
        <w:numPr>
          <w:ilvl w:val="0"/>
          <w:numId w:val="10"/>
        </w:numPr>
        <w:pStyle w:val="Question"/>
        <w:keepLines/>
      </w:pPr>
      <w:r>
        <w:rPr>
          <w:rFonts w:ascii="Calibri" w:hAnsi="Calibri"/>
          <w:b/>
          <w:i w:val="0"/>
          <w:color w:val="1F4D78"/>
          <w:sz w:val="19"/>
        </w:rPr>
        <w:t xml:space="preserve">[EXHIBIT] </w:t>
      </w:r>
      <w:r>
        <w:rPr>
          <w:rFonts w:ascii="Calibri" w:hAnsi="Calibri"/>
          <w:b w:val="0"/>
          <w:i w:val="0"/>
          <w:sz w:val="21"/>
        </w:rPr>
        <w:t>Her handwritten notation says, 'I disagree with this rating - MDR.' You saw that notation, correct?</w:t>
      </w:r>
    </w:p>
    <w:p>
      <w:pPr>
        <w:numPr>
          <w:ilvl w:val="0"/>
          <w:numId w:val="10"/>
        </w:numPr>
        <w:pStyle w:val="Question"/>
        <w:keepLines/>
      </w:pPr>
      <w:r>
        <w:rPr>
          <w:rFonts w:ascii="Calibri" w:hAnsi="Calibri"/>
          <w:b/>
          <w:i w:val="0"/>
          <w:color w:val="1F4D78"/>
          <w:sz w:val="19"/>
        </w:rPr>
        <w:t xml:space="preserve">[FOLLOW-UP] </w:t>
      </w:r>
      <w:r>
        <w:rPr>
          <w:rFonts w:ascii="Calibri" w:hAnsi="Calibri"/>
          <w:b w:val="0"/>
          <w:i w:val="0"/>
          <w:sz w:val="21"/>
        </w:rPr>
        <w:t>What investigation did you conduct after she disputed the accuracy of the rating?</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No performance-review document identifies a contemplated PIP or termination before January 8, correct?</w:t>
      </w:r>
    </w:p>
    <w:p>
      <w:pPr>
        <w:pStyle w:val="Heading2"/>
      </w:pPr>
      <w:r>
        <w:t>4. Knowledge of the complaint and the three discriminatory comments</w:t>
      </w:r>
    </w:p>
    <w:p>
      <w:pPr>
        <w:pStyle w:val="StrategyNote"/>
        <w:keepLines/>
      </w:pPr>
      <w:r>
        <w:rPr>
          <w:rFonts w:ascii="Calibri" w:hAnsi="Calibri"/>
          <w:b/>
          <w:i w:val="0"/>
          <w:color w:val="1F4D78"/>
          <w:sz w:val="19"/>
        </w:rPr>
        <w:t xml:space="preserve">Target admission: </w:t>
      </w:r>
      <w:r>
        <w:rPr>
          <w:rFonts w:ascii="Calibri" w:hAnsi="Calibri"/>
          <w:b w:val="0"/>
          <w:i w:val="0"/>
          <w:color w:val="667085"/>
          <w:sz w:val="19"/>
        </w:rPr>
        <w:t>Whitford knew of the January 8 protected complaint before every adverse action; made or acknowledged the 'border communities,' 'background/blind spots,' and 'in her blood' remarks; and framed them as business observations despite their national-origin content.</w:t>
      </w:r>
    </w:p>
    <w:p>
      <w:pPr>
        <w:pStyle w:val="StrategyNote"/>
        <w:keepLines/>
      </w:pPr>
      <w:r>
        <w:rPr>
          <w:rFonts w:ascii="Calibri" w:hAnsi="Calibri"/>
          <w:b/>
          <w:i w:val="0"/>
          <w:color w:val="1F4D78"/>
          <w:sz w:val="19"/>
        </w:rPr>
        <w:t xml:space="preserve">Documents: </w:t>
      </w:r>
      <w:r>
        <w:rPr>
          <w:rFonts w:ascii="Calibri" w:hAnsi="Calibri"/>
          <w:b w:val="0"/>
          <w:i w:val="0"/>
          <w:color w:val="667085"/>
          <w:sz w:val="19"/>
        </w:rPr>
        <w:t>Ex. 1 complaint email; Ex. 2 HR investigation report; Ex. 9 policy §§7.1-7.2.</w:t>
      </w:r>
    </w:p>
    <w:p>
      <w:pPr>
        <w:pStyle w:val="StrategyNote"/>
        <w:keepLines/>
      </w:pPr>
      <w:r>
        <w:rPr>
          <w:rFonts w:ascii="Calibri" w:hAnsi="Calibri"/>
          <w:b/>
          <w:i w:val="0"/>
          <w:color w:val="1F4D78"/>
          <w:sz w:val="19"/>
        </w:rPr>
        <w:t xml:space="preserve">Sequence: </w:t>
      </w:r>
      <w:r>
        <w:rPr>
          <w:rFonts w:ascii="Calibri" w:hAnsi="Calibri"/>
          <w:b w:val="0"/>
          <w:i/>
          <w:color w:val="667085"/>
          <w:sz w:val="19"/>
        </w:rPr>
        <w:t>First establish when he learned of the complaint. Ask for his unassisted version of each event before using the complaint and HR report.</w:t>
      </w:r>
    </w:p>
    <w:p>
      <w:pPr>
        <w:numPr>
          <w:ilvl w:val="0"/>
          <w:numId w:val="10"/>
        </w:numPr>
        <w:pStyle w:val="Question"/>
        <w:keepLines/>
      </w:pPr>
      <w:r>
        <w:rPr>
          <w:rFonts w:ascii="Calibri" w:hAnsi="Calibri"/>
          <w:b/>
          <w:i w:val="0"/>
          <w:color w:val="1F4D78"/>
          <w:sz w:val="19"/>
        </w:rPr>
        <w:t xml:space="preserve">[OPEN] </w:t>
      </w:r>
      <w:r>
        <w:rPr>
          <w:rFonts w:ascii="Calibri" w:hAnsi="Calibri"/>
          <w:b w:val="0"/>
          <w:i w:val="0"/>
          <w:sz w:val="21"/>
        </w:rPr>
        <w:t>When and how did you first learn that Delgado-Reyes filed a written discrimination complaint on January 8, 2024?</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You were interviewed about that complaint on January 16, correct?</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By February 12 you received the HR investigation report and knew the complaint was protected activity, correct?</w:t>
      </w:r>
    </w:p>
    <w:p>
      <w:pPr>
        <w:numPr>
          <w:ilvl w:val="0"/>
          <w:numId w:val="10"/>
        </w:numPr>
        <w:pStyle w:val="Question"/>
        <w:keepLines/>
      </w:pPr>
      <w:r>
        <w:rPr>
          <w:rFonts w:ascii="Calibri" w:hAnsi="Calibri"/>
          <w:b/>
          <w:i w:val="0"/>
          <w:color w:val="1F4D78"/>
          <w:sz w:val="19"/>
        </w:rPr>
        <w:t xml:space="preserve">[OPEN] </w:t>
      </w:r>
      <w:r>
        <w:rPr>
          <w:rFonts w:ascii="Calibri" w:hAnsi="Calibri"/>
          <w:b w:val="0"/>
          <w:i w:val="0"/>
          <w:sz w:val="21"/>
        </w:rPr>
        <w:t>At the November 15, 2023 regional meeting, what did you say about lending in border communities?</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Did you say the bank needed to be 'careful about lending in border communities'?</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Did you say people from those areas did not always have 'the same credit culture we expect'?</w:t>
      </w:r>
    </w:p>
    <w:p>
      <w:pPr>
        <w:numPr>
          <w:ilvl w:val="0"/>
          <w:numId w:val="10"/>
        </w:numPr>
        <w:pStyle w:val="Question"/>
        <w:keepLines/>
      </w:pPr>
      <w:r>
        <w:rPr>
          <w:rFonts w:ascii="Calibri" w:hAnsi="Calibri"/>
          <w:b/>
          <w:i w:val="0"/>
          <w:color w:val="1F4D78"/>
          <w:sz w:val="19"/>
        </w:rPr>
        <w:t xml:space="preserve">[FOLLOW-UP] </w:t>
      </w:r>
      <w:r>
        <w:rPr>
          <w:rFonts w:ascii="Calibri" w:hAnsi="Calibri"/>
          <w:b w:val="0"/>
          <w:i w:val="0"/>
          <w:sz w:val="21"/>
        </w:rPr>
        <w:t>What people and what 'credit culture' were you referring to?</w:t>
      </w:r>
    </w:p>
    <w:p>
      <w:pPr>
        <w:numPr>
          <w:ilvl w:val="0"/>
          <w:numId w:val="10"/>
        </w:numPr>
        <w:pStyle w:val="Question"/>
        <w:keepLines/>
      </w:pPr>
      <w:r>
        <w:rPr>
          <w:rFonts w:ascii="Calibri" w:hAnsi="Calibri"/>
          <w:b/>
          <w:i w:val="0"/>
          <w:color w:val="1F4D78"/>
          <w:sz w:val="19"/>
        </w:rPr>
        <w:t xml:space="preserve">[OPEN] </w:t>
      </w:r>
      <w:r>
        <w:rPr>
          <w:rFonts w:ascii="Calibri" w:hAnsi="Calibri"/>
          <w:b w:val="0"/>
          <w:i w:val="0"/>
          <w:sz w:val="21"/>
        </w:rPr>
        <w:t>Describe the December 7 meeting concerning Delgado-Reyes's $8.5 million Nogales loan proposal.</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You told her to consider whether her 'background' gave her 'blind spots with certain borrowers,' correct?</w:t>
      </w:r>
    </w:p>
    <w:p>
      <w:pPr>
        <w:numPr>
          <w:ilvl w:val="0"/>
          <w:numId w:val="10"/>
        </w:numPr>
        <w:pStyle w:val="Question"/>
        <w:keepLines/>
      </w:pPr>
      <w:r>
        <w:rPr>
          <w:rFonts w:ascii="Calibri" w:hAnsi="Calibri"/>
          <w:b/>
          <w:i w:val="0"/>
          <w:color w:val="1F4D78"/>
          <w:sz w:val="19"/>
        </w:rPr>
        <w:t xml:space="preserve">[FOLLOW-UP] </w:t>
      </w:r>
      <w:r>
        <w:rPr>
          <w:rFonts w:ascii="Calibri" w:hAnsi="Calibri"/>
          <w:b w:val="0"/>
          <w:i w:val="0"/>
          <w:sz w:val="21"/>
        </w:rPr>
        <w:t>What precisely did 'background' mean, and what precisely were the 'blind spots'?</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You gave no comparable 'background' warning to Marcus Langley or Brian Kowalski, did you?</w:t>
      </w:r>
    </w:p>
    <w:p>
      <w:pPr>
        <w:numPr>
          <w:ilvl w:val="0"/>
          <w:numId w:val="10"/>
        </w:numPr>
        <w:pStyle w:val="Question"/>
        <w:keepLines/>
      </w:pPr>
      <w:r>
        <w:rPr>
          <w:rFonts w:ascii="Calibri" w:hAnsi="Calibri"/>
          <w:b/>
          <w:i w:val="0"/>
          <w:color w:val="1F4D78"/>
          <w:sz w:val="19"/>
        </w:rPr>
        <w:t xml:space="preserve">[OPEN] </w:t>
      </w:r>
      <w:r>
        <w:rPr>
          <w:rFonts w:ascii="Calibri" w:hAnsi="Calibri"/>
          <w:b w:val="0"/>
          <w:i w:val="0"/>
          <w:sz w:val="21"/>
        </w:rPr>
        <w:t>At the December 20 holiday party, how did you introduce Delgado-Reyes to the Denver executive?</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You said, 'Mariana is our local expert - she really knows the border market. It's in her blood,' correct?</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Jennifer Marsh and Roberto Fuentes were present, correct?</w:t>
      </w:r>
    </w:p>
    <w:p>
      <w:pPr>
        <w:numPr>
          <w:ilvl w:val="0"/>
          <w:numId w:val="10"/>
        </w:numPr>
        <w:pStyle w:val="Question"/>
        <w:keepLines/>
      </w:pPr>
      <w:r>
        <w:rPr>
          <w:rFonts w:ascii="Calibri" w:hAnsi="Calibri"/>
          <w:b/>
          <w:i w:val="0"/>
          <w:color w:val="1F4D78"/>
          <w:sz w:val="19"/>
        </w:rPr>
        <w:t xml:space="preserve">[FOLLOW-UP] </w:t>
      </w:r>
      <w:r>
        <w:rPr>
          <w:rFonts w:ascii="Calibri" w:hAnsi="Calibri"/>
          <w:b w:val="0"/>
          <w:i w:val="0"/>
          <w:sz w:val="21"/>
        </w:rPr>
        <w:t>How can 'blood' refer only to professional experience rather than heritage or ethnicity?</w:t>
      </w:r>
    </w:p>
    <w:p>
      <w:pPr>
        <w:numPr>
          <w:ilvl w:val="0"/>
          <w:numId w:val="10"/>
        </w:numPr>
        <w:pStyle w:val="Question"/>
        <w:keepLines/>
      </w:pPr>
      <w:r>
        <w:rPr>
          <w:rFonts w:ascii="Calibri" w:hAnsi="Calibri"/>
          <w:b/>
          <w:i w:val="0"/>
          <w:color w:val="1F4D78"/>
          <w:sz w:val="19"/>
        </w:rPr>
        <w:t xml:space="preserve">[EXHIBIT] </w:t>
      </w:r>
      <w:r>
        <w:rPr>
          <w:rFonts w:ascii="Calibri" w:hAnsi="Calibri"/>
          <w:b w:val="0"/>
          <w:i w:val="0"/>
          <w:sz w:val="21"/>
        </w:rPr>
        <w:t>Ex. 2 says you characterized these as business-related observations. Is that still your complete explanation?</w:t>
      </w:r>
    </w:p>
    <w:p>
      <w:pPr>
        <w:numPr>
          <w:ilvl w:val="0"/>
          <w:numId w:val="10"/>
        </w:numPr>
        <w:pStyle w:val="Question"/>
        <w:keepLines/>
      </w:pPr>
      <w:r>
        <w:rPr>
          <w:rFonts w:ascii="Calibri" w:hAnsi="Calibri"/>
          <w:b/>
          <w:i w:val="0"/>
          <w:color w:val="1F4D78"/>
          <w:sz w:val="19"/>
        </w:rPr>
        <w:t xml:space="preserve">[FOLLOW-UP] </w:t>
      </w:r>
      <w:r>
        <w:rPr>
          <w:rFonts w:ascii="Calibri" w:hAnsi="Calibri"/>
          <w:b w:val="0"/>
          <w:i w:val="0"/>
          <w:sz w:val="21"/>
        </w:rPr>
        <w:t>The report nevertheless counseled you twice to avoid language overlapping with ethnic or cultural identity, correct?</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These comments concerned the same border communities and national-origin subject Delgado-Reyes raised in her complaint, correct?</w:t>
      </w:r>
    </w:p>
    <w:p>
      <w:pPr>
        <w:pStyle w:val="Heading2"/>
      </w:pPr>
      <w:r>
        <w:t>5. HR investigation and prior Yazzie complaint</w:t>
      </w:r>
    </w:p>
    <w:p>
      <w:pPr>
        <w:pStyle w:val="StrategyNote"/>
        <w:keepLines/>
      </w:pPr>
      <w:r>
        <w:rPr>
          <w:rFonts w:ascii="Calibri" w:hAnsi="Calibri"/>
          <w:b/>
          <w:i w:val="0"/>
          <w:color w:val="1F4D78"/>
          <w:sz w:val="19"/>
        </w:rPr>
        <w:t xml:space="preserve">Target admission: </w:t>
      </w:r>
      <w:r>
        <w:rPr>
          <w:rFonts w:ascii="Calibri" w:hAnsi="Calibri"/>
          <w:b w:val="0"/>
          <w:i w:val="0"/>
          <w:color w:val="667085"/>
          <w:sz w:val="19"/>
        </w:rPr>
        <w:t>Whitford knew a prior Navajo employee had accused him of analogous market-coded remarks and exclusion; acknowledged using 'reservation risk'; received 2017 counseling; and repeated similar language in 2023.</w:t>
      </w:r>
    </w:p>
    <w:p>
      <w:pPr>
        <w:pStyle w:val="StrategyNote"/>
        <w:keepLines/>
      </w:pPr>
      <w:r>
        <w:rPr>
          <w:rFonts w:ascii="Calibri" w:hAnsi="Calibri"/>
          <w:b/>
          <w:i w:val="0"/>
          <w:color w:val="1F4D78"/>
          <w:sz w:val="19"/>
        </w:rPr>
        <w:t xml:space="preserve">Documents: </w:t>
      </w:r>
      <w:r>
        <w:rPr>
          <w:rFonts w:ascii="Calibri" w:hAnsi="Calibri"/>
          <w:b w:val="0"/>
          <w:i w:val="0"/>
          <w:color w:val="667085"/>
          <w:sz w:val="19"/>
        </w:rPr>
        <w:t>Ex. 2 HR investigation report; Ex. 11 Whitford personnel file / Patricia Yazzie complaint and counseling acknowledgment.</w:t>
      </w:r>
    </w:p>
    <w:p>
      <w:pPr>
        <w:pStyle w:val="StrategyNote"/>
        <w:keepLines/>
      </w:pPr>
      <w:r>
        <w:rPr>
          <w:rFonts w:ascii="Calibri" w:hAnsi="Calibri"/>
          <w:b/>
          <w:i w:val="0"/>
          <w:color w:val="1F4D78"/>
          <w:sz w:val="19"/>
        </w:rPr>
        <w:t xml:space="preserve">Sequence: </w:t>
      </w:r>
      <w:r>
        <w:rPr>
          <w:rFonts w:ascii="Calibri" w:hAnsi="Calibri"/>
          <w:b w:val="0"/>
          <w:i/>
          <w:color w:val="667085"/>
          <w:sz w:val="19"/>
        </w:rPr>
        <w:t>Obtain his memory and explanations before showing the personnel file. Compare the two matters fact-by-fact without asking him to accept a legal conclusion.</w:t>
      </w:r>
    </w:p>
    <w:p>
      <w:pPr>
        <w:numPr>
          <w:ilvl w:val="0"/>
          <w:numId w:val="10"/>
        </w:numPr>
        <w:pStyle w:val="Question"/>
        <w:keepLines/>
      </w:pPr>
      <w:r>
        <w:rPr>
          <w:rFonts w:ascii="Calibri" w:hAnsi="Calibri"/>
          <w:b/>
          <w:i w:val="0"/>
          <w:color w:val="1F4D78"/>
          <w:sz w:val="19"/>
        </w:rPr>
        <w:t xml:space="preserve">[OPEN] </w:t>
      </w:r>
      <w:r>
        <w:rPr>
          <w:rFonts w:ascii="Calibri" w:hAnsi="Calibri"/>
          <w:b w:val="0"/>
          <w:i w:val="0"/>
          <w:sz w:val="21"/>
        </w:rPr>
        <w:t>What did Patricia Yazzie allege against you in 2017?</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She was a Navajo loan officer who alleged you used 'reservation risk' and excluded her from client meetings, correct?</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You acknowledged using 'reservation risk' but said it was business terminology, correct?</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The investigation was deemed unsubstantiated, and you were counseled in September 2017 about culturally sensitive communication, correct?</w:t>
      </w:r>
    </w:p>
    <w:p>
      <w:pPr>
        <w:numPr>
          <w:ilvl w:val="0"/>
          <w:numId w:val="10"/>
        </w:numPr>
        <w:pStyle w:val="Question"/>
        <w:keepLines/>
      </w:pPr>
      <w:r>
        <w:rPr>
          <w:rFonts w:ascii="Calibri" w:hAnsi="Calibri"/>
          <w:b/>
          <w:i w:val="0"/>
          <w:color w:val="1F4D78"/>
          <w:sz w:val="19"/>
        </w:rPr>
        <w:t xml:space="preserve">[OPEN] </w:t>
      </w:r>
      <w:r>
        <w:rPr>
          <w:rFonts w:ascii="Calibri" w:hAnsi="Calibri"/>
          <w:b w:val="0"/>
          <w:i w:val="0"/>
          <w:sz w:val="21"/>
        </w:rPr>
        <w:t>What did that counseling require you to change?</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By November 2023 you knew market-risk language could be perceived as coded to race or national origin, correct?</w:t>
      </w:r>
    </w:p>
    <w:p>
      <w:pPr>
        <w:numPr>
          <w:ilvl w:val="0"/>
          <w:numId w:val="10"/>
        </w:numPr>
        <w:pStyle w:val="Question"/>
        <w:keepLines/>
      </w:pPr>
      <w:r>
        <w:rPr>
          <w:rFonts w:ascii="Calibri" w:hAnsi="Calibri"/>
          <w:b/>
          <w:i w:val="0"/>
          <w:color w:val="1F4D78"/>
          <w:sz w:val="19"/>
        </w:rPr>
        <w:t xml:space="preserve">[COMPARISON] </w:t>
      </w:r>
      <w:r>
        <w:rPr>
          <w:rFonts w:ascii="Calibri" w:hAnsi="Calibri"/>
          <w:b w:val="0"/>
          <w:i w:val="0"/>
          <w:sz w:val="21"/>
        </w:rPr>
        <w:t>In both matters, a minority employee complained about language linking credit risk to a community associated with her identity, correct?</w:t>
      </w:r>
    </w:p>
    <w:p>
      <w:pPr>
        <w:numPr>
          <w:ilvl w:val="0"/>
          <w:numId w:val="10"/>
        </w:numPr>
        <w:pStyle w:val="Question"/>
        <w:keepLines/>
      </w:pPr>
      <w:r>
        <w:rPr>
          <w:rFonts w:ascii="Calibri" w:hAnsi="Calibri"/>
          <w:b/>
          <w:i w:val="0"/>
          <w:color w:val="1F4D78"/>
          <w:sz w:val="19"/>
        </w:rPr>
        <w:t xml:space="preserve">[COMPARISON] </w:t>
      </w:r>
      <w:r>
        <w:rPr>
          <w:rFonts w:ascii="Calibri" w:hAnsi="Calibri"/>
          <w:b w:val="0"/>
          <w:i w:val="0"/>
          <w:sz w:val="21"/>
        </w:rPr>
        <w:t>In both matters, you characterized the language as a business or risk observation, correct?</w:t>
      </w:r>
    </w:p>
    <w:p>
      <w:pPr>
        <w:numPr>
          <w:ilvl w:val="0"/>
          <w:numId w:val="10"/>
        </w:numPr>
        <w:pStyle w:val="Question"/>
        <w:keepLines/>
      </w:pPr>
      <w:r>
        <w:rPr>
          <w:rFonts w:ascii="Calibri" w:hAnsi="Calibri"/>
          <w:b/>
          <w:i w:val="0"/>
          <w:color w:val="1F4D78"/>
          <w:sz w:val="19"/>
        </w:rPr>
        <w:t xml:space="preserve">[COMPARISON] </w:t>
      </w:r>
      <w:r>
        <w:rPr>
          <w:rFonts w:ascii="Calibri" w:hAnsi="Calibri"/>
          <w:b w:val="0"/>
          <w:i w:val="0"/>
          <w:sz w:val="21"/>
        </w:rPr>
        <w:t>Both complaints were called unsubstantiated, and both complainants later left the bank, correct?</w:t>
      </w:r>
    </w:p>
    <w:p>
      <w:pPr>
        <w:numPr>
          <w:ilvl w:val="0"/>
          <w:numId w:val="10"/>
        </w:numPr>
        <w:pStyle w:val="Question"/>
        <w:keepLines/>
      </w:pPr>
      <w:r>
        <w:rPr>
          <w:rFonts w:ascii="Calibri" w:hAnsi="Calibri"/>
          <w:b/>
          <w:i w:val="0"/>
          <w:color w:val="1F4D78"/>
          <w:sz w:val="19"/>
        </w:rPr>
        <w:t xml:space="preserve">[FOLLOW-UP] </w:t>
      </w:r>
      <w:r>
        <w:rPr>
          <w:rFonts w:ascii="Calibri" w:hAnsi="Calibri"/>
          <w:b w:val="0"/>
          <w:i w:val="0"/>
          <w:sz w:val="21"/>
        </w:rPr>
        <w:t>Did you disclose the Yazzie counseling when you recommended Delgado-Reyes's PIP or termination?</w:t>
      </w:r>
    </w:p>
    <w:p>
      <w:pPr>
        <w:numPr>
          <w:ilvl w:val="0"/>
          <w:numId w:val="10"/>
        </w:numPr>
        <w:pStyle w:val="Question"/>
        <w:keepLines/>
      </w:pPr>
      <w:r>
        <w:rPr>
          <w:rFonts w:ascii="Calibri" w:hAnsi="Calibri"/>
          <w:b/>
          <w:i w:val="0"/>
          <w:color w:val="1F4D78"/>
          <w:sz w:val="19"/>
        </w:rPr>
        <w:t xml:space="preserve">[FOLLOW-UP] </w:t>
      </w:r>
      <w:r>
        <w:rPr>
          <w:rFonts w:ascii="Calibri" w:hAnsi="Calibri"/>
          <w:b w:val="0"/>
          <w:i w:val="0"/>
          <w:sz w:val="21"/>
        </w:rPr>
        <w:t>What enhanced review, training, or supervision occurred after the 2017 complaint?</w:t>
      </w:r>
    </w:p>
    <w:p>
      <w:pPr>
        <w:pStyle w:val="Heading2"/>
      </w:pPr>
      <w:r>
        <w:t>6. Complaint-to-adverse-action chronology</w:t>
      </w:r>
    </w:p>
    <w:p>
      <w:pPr>
        <w:pStyle w:val="StrategyNote"/>
        <w:keepLines/>
      </w:pPr>
      <w:r>
        <w:rPr>
          <w:rFonts w:ascii="Calibri" w:hAnsi="Calibri"/>
          <w:b/>
          <w:i w:val="0"/>
          <w:color w:val="1F4D78"/>
          <w:sz w:val="19"/>
        </w:rPr>
        <w:t xml:space="preserve">Target admission: </w:t>
      </w:r>
      <w:r>
        <w:rPr>
          <w:rFonts w:ascii="Calibri" w:hAnsi="Calibri"/>
          <w:b w:val="0"/>
          <w:i w:val="0"/>
          <w:color w:val="667085"/>
          <w:sz w:val="19"/>
        </w:rPr>
        <w:t>Whitford knew the complaint preceded each action by 28, 43, and 65 days; no comparable action was documented before the complaint; the timing was not coincidental.</w:t>
      </w:r>
    </w:p>
    <w:p>
      <w:pPr>
        <w:pStyle w:val="StrategyNote"/>
        <w:keepLines/>
      </w:pPr>
      <w:r>
        <w:rPr>
          <w:rFonts w:ascii="Calibri" w:hAnsi="Calibri"/>
          <w:b/>
          <w:i w:val="0"/>
          <w:color w:val="1F4D78"/>
          <w:sz w:val="19"/>
        </w:rPr>
        <w:t xml:space="preserve">Documents: </w:t>
      </w:r>
      <w:r>
        <w:rPr>
          <w:rFonts w:ascii="Calibri" w:hAnsi="Calibri"/>
          <w:b w:val="0"/>
          <w:i w:val="0"/>
          <w:color w:val="667085"/>
          <w:sz w:val="19"/>
        </w:rPr>
        <w:t>Exs. 1, 3, 7, 8, 10; dates on complaint, review, PIP, and termination documents.</w:t>
      </w:r>
    </w:p>
    <w:p>
      <w:pPr>
        <w:pStyle w:val="StrategyNote"/>
        <w:keepLines/>
      </w:pPr>
      <w:r>
        <w:rPr>
          <w:rFonts w:ascii="Calibri" w:hAnsi="Calibri"/>
          <w:b/>
          <w:i w:val="0"/>
          <w:color w:val="1F4D78"/>
          <w:sz w:val="19"/>
        </w:rPr>
        <w:t xml:space="preserve">Sequence: </w:t>
      </w:r>
      <w:r>
        <w:rPr>
          <w:rFonts w:ascii="Calibri" w:hAnsi="Calibri"/>
          <w:b w:val="0"/>
          <w:i/>
          <w:color w:val="667085"/>
          <w:sz w:val="19"/>
        </w:rPr>
        <w:t>Use the documents only to fix dates. Ask separately whether each decision was contemplated before January 8 and identify corroborating records.</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The complaint was filed January 8, 2024, correct?</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You finalized the performance review February 5 - 28 days later - correct?</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You issued the PIP February 20 - 43 days after the complaint - correct?</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You recommended and communicated termination March 14 - 65 days after the complaint - correct?</w:t>
      </w:r>
    </w:p>
    <w:p>
      <w:pPr>
        <w:numPr>
          <w:ilvl w:val="0"/>
          <w:numId w:val="10"/>
        </w:numPr>
        <w:pStyle w:val="Question"/>
        <w:keepLines/>
      </w:pPr>
      <w:r>
        <w:rPr>
          <w:rFonts w:ascii="Calibri" w:hAnsi="Calibri"/>
          <w:b/>
          <w:i w:val="0"/>
          <w:color w:val="1F4D78"/>
          <w:sz w:val="19"/>
        </w:rPr>
        <w:t xml:space="preserve">[OPEN] </w:t>
      </w:r>
      <w:r>
        <w:rPr>
          <w:rFonts w:ascii="Calibri" w:hAnsi="Calibri"/>
          <w:b w:val="0"/>
          <w:i w:val="0"/>
          <w:sz w:val="21"/>
        </w:rPr>
        <w:t>Before January 8, had you discussed a PIP with Cho, Embree, the CHRO, or General Counsel? Identify each discussion.</w:t>
      </w:r>
    </w:p>
    <w:p>
      <w:pPr>
        <w:numPr>
          <w:ilvl w:val="0"/>
          <w:numId w:val="10"/>
        </w:numPr>
        <w:pStyle w:val="Question"/>
        <w:keepLines/>
      </w:pPr>
      <w:r>
        <w:rPr>
          <w:rFonts w:ascii="Calibri" w:hAnsi="Calibri"/>
          <w:b/>
          <w:i w:val="0"/>
          <w:color w:val="1F4D78"/>
          <w:sz w:val="19"/>
        </w:rPr>
        <w:t xml:space="preserve">[OPEN] </w:t>
      </w:r>
      <w:r>
        <w:rPr>
          <w:rFonts w:ascii="Calibri" w:hAnsi="Calibri"/>
          <w:b w:val="0"/>
          <w:i w:val="0"/>
          <w:sz w:val="21"/>
        </w:rPr>
        <w:t>Before January 8, had you decided to lower the review rating? What contemporaneous document proves that?</w:t>
      </w:r>
    </w:p>
    <w:p>
      <w:pPr>
        <w:numPr>
          <w:ilvl w:val="0"/>
          <w:numId w:val="10"/>
        </w:numPr>
        <w:pStyle w:val="Question"/>
        <w:keepLines/>
      </w:pPr>
      <w:r>
        <w:rPr>
          <w:rFonts w:ascii="Calibri" w:hAnsi="Calibri"/>
          <w:b/>
          <w:i w:val="0"/>
          <w:color w:val="1F4D78"/>
          <w:sz w:val="19"/>
        </w:rPr>
        <w:t xml:space="preserve">[OPEN] </w:t>
      </w:r>
      <w:r>
        <w:rPr>
          <w:rFonts w:ascii="Calibri" w:hAnsi="Calibri"/>
          <w:b w:val="0"/>
          <w:i w:val="0"/>
          <w:sz w:val="21"/>
        </w:rPr>
        <w:t>Before January 8, had you considered terminating Delgado-Reyes? What contemporaneous document proves that?</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The adverse-action sequence began only after you learned of the complaint, correct?</w:t>
      </w:r>
    </w:p>
    <w:p>
      <w:pPr>
        <w:numPr>
          <w:ilvl w:val="0"/>
          <w:numId w:val="10"/>
        </w:numPr>
        <w:pStyle w:val="Question"/>
        <w:keepLines/>
      </w:pPr>
      <w:r>
        <w:rPr>
          <w:rFonts w:ascii="Calibri" w:hAnsi="Calibri"/>
          <w:b/>
          <w:i w:val="0"/>
          <w:color w:val="1F4D78"/>
          <w:sz w:val="19"/>
        </w:rPr>
        <w:t xml:space="preserve">[FOLLOW-UP] </w:t>
      </w:r>
      <w:r>
        <w:rPr>
          <w:rFonts w:ascii="Calibri" w:hAnsi="Calibri"/>
          <w:b w:val="0"/>
          <w:i w:val="0"/>
          <w:sz w:val="21"/>
        </w:rPr>
        <w:t>If you say timing was coincidental, identify the objective pre-January record establishing each decision trajectory.</w:t>
      </w:r>
    </w:p>
    <w:p>
      <w:pPr>
        <w:pStyle w:val="Heading2"/>
      </w:pPr>
      <w:r>
        <w:t>7. February 18 Whitford-Cho email - motive and lock-in impeachment</w:t>
      </w:r>
    </w:p>
    <w:p>
      <w:pPr>
        <w:pStyle w:val="StrategyNote"/>
        <w:keepLines/>
      </w:pPr>
      <w:r>
        <w:rPr>
          <w:rFonts w:ascii="Calibri" w:hAnsi="Calibri"/>
          <w:b/>
          <w:i w:val="0"/>
          <w:color w:val="1F4D78"/>
          <w:sz w:val="19"/>
        </w:rPr>
        <w:t xml:space="preserve">Target admission: </w:t>
      </w:r>
      <w:r>
        <w:rPr>
          <w:rFonts w:ascii="Calibri" w:hAnsi="Calibri"/>
          <w:b w:val="0"/>
          <w:i w:val="0"/>
          <w:color w:val="667085"/>
          <w:sz w:val="19"/>
        </w:rPr>
        <w:t>Whitford linked 'the complaint' and performance numbers, wanted to move quickly, viewed delay as a bigger problem, and planned the PIP after the investigation closed.</w:t>
      </w:r>
    </w:p>
    <w:p>
      <w:pPr>
        <w:pStyle w:val="StrategyNote"/>
        <w:keepLines/>
      </w:pPr>
      <w:r>
        <w:rPr>
          <w:rFonts w:ascii="Calibri" w:hAnsi="Calibri"/>
          <w:b/>
          <w:i w:val="0"/>
          <w:color w:val="1F4D78"/>
          <w:sz w:val="19"/>
        </w:rPr>
        <w:t xml:space="preserve">Documents: </w:t>
      </w:r>
      <w:r>
        <w:rPr>
          <w:rFonts w:ascii="Calibri" w:hAnsi="Calibri"/>
          <w:b w:val="0"/>
          <w:i w:val="0"/>
          <w:color w:val="667085"/>
          <w:sz w:val="19"/>
        </w:rPr>
        <w:t>Ex. 7 Whitford-Cho email chain dated Feb. 18, 2024.</w:t>
      </w:r>
    </w:p>
    <w:p>
      <w:pPr>
        <w:pStyle w:val="StrategyNote"/>
        <w:keepLines/>
      </w:pPr>
      <w:r>
        <w:rPr>
          <w:rFonts w:ascii="Calibri" w:hAnsi="Calibri"/>
          <w:b/>
          <w:i w:val="0"/>
          <w:color w:val="1F4D78"/>
          <w:sz w:val="19"/>
        </w:rPr>
        <w:t xml:space="preserve">Sequence: </w:t>
      </w:r>
      <w:r>
        <w:rPr>
          <w:rFonts w:ascii="Calibri" w:hAnsi="Calibri"/>
          <w:b w:val="0"/>
          <w:i/>
          <w:color w:val="667085"/>
          <w:sz w:val="19"/>
        </w:rPr>
        <w:t>Critical sequence: do not show the email until Whitford has testified about complaint knowledge, the origin and sole purpose of the PIP, timing, and whether the complaint influenced him. Then authenticate and read line-by-line.</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Before I show you the next document: state every factor that caused you to decide on a PIP.</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Is your testimony that the January 8 complaint played no role in the review, PIP, or termination?</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When did you first decide a PIP was necessary, and with whom did you discuss it?</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What did you mean by needing to act quickly, if anything, before February 20?</w:t>
      </w:r>
    </w:p>
    <w:p>
      <w:pPr>
        <w:numPr>
          <w:ilvl w:val="0"/>
          <w:numId w:val="10"/>
        </w:numPr>
        <w:pStyle w:val="Question"/>
        <w:keepLines/>
      </w:pPr>
      <w:r>
        <w:rPr>
          <w:rFonts w:ascii="Calibri" w:hAnsi="Calibri"/>
          <w:b/>
          <w:i w:val="0"/>
          <w:color w:val="1F4D78"/>
          <w:sz w:val="19"/>
        </w:rPr>
        <w:t xml:space="preserve">[EXHIBIT] </w:t>
      </w:r>
      <w:r>
        <w:rPr>
          <w:rFonts w:ascii="Calibri" w:hAnsi="Calibri"/>
          <w:b w:val="0"/>
          <w:i w:val="0"/>
          <w:sz w:val="21"/>
        </w:rPr>
        <w:t>Ex. 7 is an email chain from your bank account to Sandra Cho on February 18. You authored the 3:22 PM email, correct?</w:t>
      </w:r>
    </w:p>
    <w:p>
      <w:pPr>
        <w:numPr>
          <w:ilvl w:val="0"/>
          <w:numId w:val="10"/>
        </w:numPr>
        <w:pStyle w:val="Question"/>
        <w:keepLines/>
      </w:pPr>
      <w:r>
        <w:rPr>
          <w:rFonts w:ascii="Calibri" w:hAnsi="Calibri"/>
          <w:b/>
          <w:i w:val="0"/>
          <w:color w:val="1F4D78"/>
          <w:sz w:val="19"/>
        </w:rPr>
        <w:t xml:space="preserve">[IMPEACH] </w:t>
      </w:r>
      <w:r>
        <w:rPr>
          <w:rFonts w:ascii="Calibri" w:hAnsi="Calibri"/>
          <w:b w:val="0"/>
          <w:i w:val="0"/>
          <w:sz w:val="21"/>
        </w:rPr>
        <w:t>You wrote: 'Between the complaint and her numbers, I think we need to move quickly.' What did 'the complaint' refer to?</w:t>
      </w:r>
    </w:p>
    <w:p>
      <w:pPr>
        <w:numPr>
          <w:ilvl w:val="0"/>
          <w:numId w:val="10"/>
        </w:numPr>
        <w:pStyle w:val="Question"/>
        <w:keepLines/>
      </w:pPr>
      <w:r>
        <w:rPr>
          <w:rFonts w:ascii="Calibri" w:hAnsi="Calibri"/>
          <w:b/>
          <w:i w:val="0"/>
          <w:color w:val="1F4D78"/>
          <w:sz w:val="19"/>
        </w:rPr>
        <w:t xml:space="preserve">[IMPEACH] </w:t>
      </w:r>
      <w:r>
        <w:rPr>
          <w:rFonts w:ascii="Calibri" w:hAnsi="Calibri"/>
          <w:b w:val="0"/>
          <w:i w:val="0"/>
          <w:sz w:val="21"/>
        </w:rPr>
        <w:t>It referred to Delgado-Reyes's January 8 discrimination complaint, correct?</w:t>
      </w:r>
    </w:p>
    <w:p>
      <w:pPr>
        <w:numPr>
          <w:ilvl w:val="0"/>
          <w:numId w:val="10"/>
        </w:numPr>
        <w:pStyle w:val="Question"/>
        <w:keepLines/>
      </w:pPr>
      <w:r>
        <w:rPr>
          <w:rFonts w:ascii="Calibri" w:hAnsi="Calibri"/>
          <w:b/>
          <w:i w:val="0"/>
          <w:color w:val="1F4D78"/>
          <w:sz w:val="19"/>
        </w:rPr>
        <w:t xml:space="preserve">[IMPEACH] </w:t>
      </w:r>
      <w:r>
        <w:rPr>
          <w:rFonts w:ascii="Calibri" w:hAnsi="Calibri"/>
          <w:b w:val="0"/>
          <w:i w:val="0"/>
          <w:sz w:val="21"/>
        </w:rPr>
        <w:t>Why did you put the complaint and her numbers in the same sentence describing the need to move quickly?</w:t>
      </w:r>
    </w:p>
    <w:p>
      <w:pPr>
        <w:numPr>
          <w:ilvl w:val="0"/>
          <w:numId w:val="10"/>
        </w:numPr>
        <w:pStyle w:val="Question"/>
        <w:keepLines/>
      </w:pPr>
      <w:r>
        <w:rPr>
          <w:rFonts w:ascii="Calibri" w:hAnsi="Calibri"/>
          <w:b/>
          <w:i w:val="0"/>
          <w:color w:val="1F4D78"/>
          <w:sz w:val="19"/>
        </w:rPr>
        <w:t xml:space="preserve">[IMPEACH] </w:t>
      </w:r>
      <w:r>
        <w:rPr>
          <w:rFonts w:ascii="Calibri" w:hAnsi="Calibri"/>
          <w:b w:val="0"/>
          <w:i w:val="0"/>
          <w:sz w:val="21"/>
        </w:rPr>
        <w:t>You wrote that you did not want 'this' to linger and become a bigger problem. What was 'this,' and what problem did you foresee?</w:t>
      </w:r>
    </w:p>
    <w:p>
      <w:pPr>
        <w:numPr>
          <w:ilvl w:val="0"/>
          <w:numId w:val="10"/>
        </w:numPr>
        <w:pStyle w:val="Question"/>
        <w:keepLines/>
      </w:pPr>
      <w:r>
        <w:rPr>
          <w:rFonts w:ascii="Calibri" w:hAnsi="Calibri"/>
          <w:b/>
          <w:i w:val="0"/>
          <w:color w:val="1F4D78"/>
          <w:sz w:val="19"/>
        </w:rPr>
        <w:t xml:space="preserve">[IMPEACH] </w:t>
      </w:r>
      <w:r>
        <w:rPr>
          <w:rFonts w:ascii="Calibri" w:hAnsi="Calibri"/>
          <w:b w:val="0"/>
          <w:i w:val="0"/>
          <w:sz w:val="21"/>
        </w:rPr>
        <w:t>You wrote, 'She's had a good run but I think it's time.' Time for what?</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At 4:15 PM Cho told you to be careful given 'the open investigation' and said she trusted your read on the numbers, correct?</w:t>
      </w:r>
    </w:p>
    <w:p>
      <w:pPr>
        <w:numPr>
          <w:ilvl w:val="0"/>
          <w:numId w:val="10"/>
        </w:numPr>
        <w:pStyle w:val="Question"/>
        <w:keepLines/>
      </w:pPr>
      <w:r>
        <w:rPr>
          <w:rFonts w:ascii="Calibri" w:hAnsi="Calibri"/>
          <w:b/>
          <w:i w:val="0"/>
          <w:color w:val="1F4D78"/>
          <w:sz w:val="19"/>
        </w:rPr>
        <w:t xml:space="preserve">[FOLLOW-UP] </w:t>
      </w:r>
      <w:r>
        <w:rPr>
          <w:rFonts w:ascii="Calibri" w:hAnsi="Calibri"/>
          <w:b w:val="0"/>
          <w:i w:val="0"/>
          <w:sz w:val="21"/>
        </w:rPr>
        <w:t>The investigation had actually closed on February 12. Why did Cho believe it remained open?</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At 4:47 PM you replied that the investigation was closed and that you already had the three metrics you wanted to cite, correct?</w:t>
      </w:r>
    </w:p>
    <w:p>
      <w:pPr>
        <w:numPr>
          <w:ilvl w:val="0"/>
          <w:numId w:val="10"/>
        </w:numPr>
        <w:pStyle w:val="Question"/>
        <w:keepLines/>
      </w:pPr>
      <w:r>
        <w:rPr>
          <w:rFonts w:ascii="Calibri" w:hAnsi="Calibri"/>
          <w:b/>
          <w:i w:val="0"/>
          <w:color w:val="1F4D78"/>
          <w:sz w:val="19"/>
        </w:rPr>
        <w:t xml:space="preserve">[IMPEACH] </w:t>
      </w:r>
      <w:r>
        <w:rPr>
          <w:rFonts w:ascii="Calibri" w:hAnsi="Calibri"/>
          <w:b w:val="0"/>
          <w:i w:val="0"/>
          <w:sz w:val="21"/>
        </w:rPr>
        <w:t>Your email does not say the PIP was already planned before the complaint, does it?</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Identify any explanation for this email other than that the complaint was one factor motivating speed and adverse action.</w:t>
      </w:r>
    </w:p>
    <w:p>
      <w:pPr>
        <w:pStyle w:val="Heading2"/>
      </w:pPr>
      <w:r>
        <w:t>8. Accuracy of the PIP - Q4 risk report</w:t>
      </w:r>
    </w:p>
    <w:p>
      <w:pPr>
        <w:pStyle w:val="StrategyNote"/>
        <w:keepLines/>
      </w:pPr>
      <w:r>
        <w:rPr>
          <w:rFonts w:ascii="Calibri" w:hAnsi="Calibri"/>
          <w:b/>
          <w:i w:val="0"/>
          <w:color w:val="1F4D78"/>
          <w:sz w:val="19"/>
        </w:rPr>
        <w:t xml:space="preserve">Target admission: </w:t>
      </w:r>
      <w:r>
        <w:rPr>
          <w:rFonts w:ascii="Calibri" w:hAnsi="Calibri"/>
          <w:b w:val="0"/>
          <w:i w:val="0"/>
          <w:color w:val="667085"/>
          <w:sz w:val="19"/>
        </w:rPr>
        <w:t>Whitford cited a five-business-day late Q4 report without verifying the bank email showing submission January 10 at 4:47 PM, before the 5:00 PM close-of-business deadline.</w:t>
      </w:r>
    </w:p>
    <w:p>
      <w:pPr>
        <w:pStyle w:val="StrategyNote"/>
        <w:keepLines/>
      </w:pPr>
      <w:r>
        <w:rPr>
          <w:rFonts w:ascii="Calibri" w:hAnsi="Calibri"/>
          <w:b/>
          <w:i w:val="0"/>
          <w:color w:val="1F4D78"/>
          <w:sz w:val="19"/>
        </w:rPr>
        <w:t xml:space="preserve">Documents: </w:t>
      </w:r>
      <w:r>
        <w:rPr>
          <w:rFonts w:ascii="Calibri" w:hAnsi="Calibri"/>
          <w:b w:val="0"/>
          <w:i w:val="0"/>
          <w:color w:val="667085"/>
          <w:sz w:val="19"/>
        </w:rPr>
        <w:t>Ex. 8 PIP, Deficiency 3; Ex. 4 Q4 risk-report submission email.</w:t>
      </w:r>
    </w:p>
    <w:p>
      <w:pPr>
        <w:pStyle w:val="StrategyNote"/>
        <w:keepLines/>
      </w:pPr>
      <w:r>
        <w:rPr>
          <w:rFonts w:ascii="Calibri" w:hAnsi="Calibri"/>
          <w:b/>
          <w:i w:val="0"/>
          <w:color w:val="1F4D78"/>
          <w:sz w:val="19"/>
        </w:rPr>
        <w:t xml:space="preserve">Sequence: </w:t>
      </w:r>
      <w:r>
        <w:rPr>
          <w:rFonts w:ascii="Calibri" w:hAnsi="Calibri"/>
          <w:b w:val="0"/>
          <w:i/>
          <w:color w:val="667085"/>
          <w:sz w:val="19"/>
        </w:rPr>
        <w:t>Obtain the alleged deadline, basis, and verification steps before showing the timestamp. Establish that Whitford was the recipient.</w:t>
      </w:r>
    </w:p>
    <w:p>
      <w:pPr>
        <w:numPr>
          <w:ilvl w:val="0"/>
          <w:numId w:val="10"/>
        </w:numPr>
        <w:pStyle w:val="Question"/>
        <w:keepLines/>
      </w:pPr>
      <w:r>
        <w:rPr>
          <w:rFonts w:ascii="Calibri" w:hAnsi="Calibri"/>
          <w:b/>
          <w:i w:val="0"/>
          <w:color w:val="1F4D78"/>
          <w:sz w:val="19"/>
        </w:rPr>
        <w:t xml:space="preserve">[OPEN] </w:t>
      </w:r>
      <w:r>
        <w:rPr>
          <w:rFonts w:ascii="Calibri" w:hAnsi="Calibri"/>
          <w:b w:val="0"/>
          <w:i w:val="0"/>
          <w:sz w:val="21"/>
        </w:rPr>
        <w:t>What was the Q4 2023 risk-report deadline, including the date and time?</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The PIP says Delgado-Reyes submitted it approximately five business days late, correct?</w:t>
      </w:r>
    </w:p>
    <w:p>
      <w:pPr>
        <w:numPr>
          <w:ilvl w:val="0"/>
          <w:numId w:val="10"/>
        </w:numPr>
        <w:pStyle w:val="Question"/>
        <w:keepLines/>
      </w:pPr>
      <w:r>
        <w:rPr>
          <w:rFonts w:ascii="Calibri" w:hAnsi="Calibri"/>
          <w:b/>
          <w:i w:val="0"/>
          <w:color w:val="1F4D78"/>
          <w:sz w:val="19"/>
        </w:rPr>
        <w:t xml:space="preserve">[OPEN] </w:t>
      </w:r>
      <w:r>
        <w:rPr>
          <w:rFonts w:ascii="Calibri" w:hAnsi="Calibri"/>
          <w:b w:val="0"/>
          <w:i w:val="0"/>
          <w:sz w:val="21"/>
        </w:rPr>
        <w:t>What record did you consult before placing that assertion in the PIP?</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Did you search your own email for the submission before signing the PIP?</w:t>
      </w:r>
    </w:p>
    <w:p>
      <w:pPr>
        <w:numPr>
          <w:ilvl w:val="0"/>
          <w:numId w:val="10"/>
        </w:numPr>
        <w:pStyle w:val="Question"/>
        <w:keepLines/>
      </w:pPr>
      <w:r>
        <w:rPr>
          <w:rFonts w:ascii="Calibri" w:hAnsi="Calibri"/>
          <w:b/>
          <w:i w:val="0"/>
          <w:color w:val="1F4D78"/>
          <w:sz w:val="19"/>
        </w:rPr>
        <w:t xml:space="preserve">[EXHIBIT] </w:t>
      </w:r>
      <w:r>
        <w:rPr>
          <w:rFonts w:ascii="Calibri" w:hAnsi="Calibri"/>
          <w:b w:val="0"/>
          <w:i w:val="0"/>
          <w:sz w:val="21"/>
        </w:rPr>
        <w:t>Ex. 4 is Delgado-Reyes's Q4 report email to you, dated January 10 and timestamped 4:47 PM. You received it, correct?</w:t>
      </w:r>
    </w:p>
    <w:p>
      <w:pPr>
        <w:numPr>
          <w:ilvl w:val="0"/>
          <w:numId w:val="10"/>
        </w:numPr>
        <w:pStyle w:val="Question"/>
        <w:keepLines/>
      </w:pPr>
      <w:r>
        <w:rPr>
          <w:rFonts w:ascii="Calibri" w:hAnsi="Calibri"/>
          <w:b/>
          <w:i w:val="0"/>
          <w:color w:val="1F4D78"/>
          <w:sz w:val="19"/>
        </w:rPr>
        <w:t xml:space="preserve">[IMPEACH] </w:t>
      </w:r>
      <w:r>
        <w:rPr>
          <w:rFonts w:ascii="Calibri" w:hAnsi="Calibri"/>
          <w:b w:val="0"/>
          <w:i w:val="0"/>
          <w:sz w:val="21"/>
        </w:rPr>
        <w:t>A 4:47 PM submission precedes a 5:00 PM close-of-business deadline, correct?</w:t>
      </w:r>
    </w:p>
    <w:p>
      <w:pPr>
        <w:numPr>
          <w:ilvl w:val="0"/>
          <w:numId w:val="10"/>
        </w:numPr>
        <w:pStyle w:val="Question"/>
        <w:keepLines/>
      </w:pPr>
      <w:r>
        <w:rPr>
          <w:rFonts w:ascii="Calibri" w:hAnsi="Calibri"/>
          <w:b/>
          <w:i w:val="0"/>
          <w:color w:val="1F4D78"/>
          <w:sz w:val="19"/>
        </w:rPr>
        <w:t xml:space="preserve">[IMPEACH] </w:t>
      </w:r>
      <w:r>
        <w:rPr>
          <w:rFonts w:ascii="Calibri" w:hAnsi="Calibri"/>
          <w:b w:val="0"/>
          <w:i w:val="0"/>
          <w:sz w:val="21"/>
        </w:rPr>
        <w:t>What factual basis remains for calling that report five business days late?</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You did not correct the PIP or termination record after receiving this email, did you?</w:t>
      </w:r>
    </w:p>
    <w:p>
      <w:pPr>
        <w:numPr>
          <w:ilvl w:val="0"/>
          <w:numId w:val="10"/>
        </w:numPr>
        <w:pStyle w:val="Question"/>
        <w:keepLines/>
      </w:pPr>
      <w:r>
        <w:rPr>
          <w:rFonts w:ascii="Calibri" w:hAnsi="Calibri"/>
          <w:b/>
          <w:i w:val="0"/>
          <w:color w:val="1F4D78"/>
          <w:sz w:val="19"/>
        </w:rPr>
        <w:t xml:space="preserve">[FOLLOW-UP] </w:t>
      </w:r>
      <w:r>
        <w:rPr>
          <w:rFonts w:ascii="Calibri" w:hAnsi="Calibri"/>
          <w:b w:val="0"/>
          <w:i w:val="0"/>
          <w:sz w:val="21"/>
        </w:rPr>
        <w:t>Was the false lateness assertion repeated to Cho, HR, the CHRO, or General Counsel? Identify each recipient.</w:t>
      </w:r>
    </w:p>
    <w:p>
      <w:pPr>
        <w:pStyle w:val="Heading2"/>
      </w:pPr>
      <w:r>
        <w:t>9. Accuracy of the PIP - Q3 outage and due diligence</w:t>
      </w:r>
    </w:p>
    <w:p>
      <w:pPr>
        <w:pStyle w:val="StrategyNote"/>
        <w:keepLines/>
      </w:pPr>
      <w:r>
        <w:rPr>
          <w:rFonts w:ascii="Calibri" w:hAnsi="Calibri"/>
          <w:b/>
          <w:i w:val="0"/>
          <w:color w:val="1F4D78"/>
          <w:sz w:val="19"/>
        </w:rPr>
        <w:t xml:space="preserve">Target admission: </w:t>
      </w:r>
      <w:r>
        <w:rPr>
          <w:rFonts w:ascii="Calibri" w:hAnsi="Calibri"/>
          <w:b w:val="0"/>
          <w:i w:val="0"/>
          <w:color w:val="667085"/>
          <w:sz w:val="19"/>
        </w:rPr>
        <w:t>Whitford cited three-day lateness without accounting for LoanStar's Oct. 2-3 outage and the two-business-day extension to Oct. 4; he did not adequately verify PIP facts.</w:t>
      </w:r>
    </w:p>
    <w:p>
      <w:pPr>
        <w:pStyle w:val="StrategyNote"/>
        <w:keepLines/>
      </w:pPr>
      <w:r>
        <w:rPr>
          <w:rFonts w:ascii="Calibri" w:hAnsi="Calibri"/>
          <w:b/>
          <w:i w:val="0"/>
          <w:color w:val="1F4D78"/>
          <w:sz w:val="19"/>
        </w:rPr>
        <w:t xml:space="preserve">Documents: </w:t>
      </w:r>
      <w:r>
        <w:rPr>
          <w:rFonts w:ascii="Calibri" w:hAnsi="Calibri"/>
          <w:b w:val="0"/>
          <w:i w:val="0"/>
          <w:color w:val="667085"/>
          <w:sz w:val="19"/>
        </w:rPr>
        <w:t>Ex. 8 PIP, Deficiency 3; Ex. 5 IT Service Ticket SR-20231002-4471.</w:t>
      </w:r>
    </w:p>
    <w:p>
      <w:pPr>
        <w:pStyle w:val="StrategyNote"/>
        <w:keepLines/>
      </w:pPr>
      <w:r>
        <w:rPr>
          <w:rFonts w:ascii="Calibri" w:hAnsi="Calibri"/>
          <w:b/>
          <w:i w:val="0"/>
          <w:color w:val="1F4D78"/>
          <w:sz w:val="19"/>
        </w:rPr>
        <w:t xml:space="preserve">Sequence: </w:t>
      </w:r>
      <w:r>
        <w:rPr>
          <w:rFonts w:ascii="Calibri" w:hAnsi="Calibri"/>
          <w:b w:val="0"/>
          <w:i/>
          <w:color w:val="667085"/>
          <w:sz w:val="19"/>
        </w:rPr>
        <w:t>Lock him into his knowledge and verification process first. Then use the ticket and ask who supplied each disputed PIP fact.</w:t>
      </w:r>
    </w:p>
    <w:p>
      <w:pPr>
        <w:numPr>
          <w:ilvl w:val="0"/>
          <w:numId w:val="10"/>
        </w:numPr>
        <w:pStyle w:val="Question"/>
        <w:keepLines/>
      </w:pPr>
      <w:r>
        <w:rPr>
          <w:rFonts w:ascii="Calibri" w:hAnsi="Calibri"/>
          <w:b/>
          <w:i w:val="0"/>
          <w:color w:val="1F4D78"/>
          <w:sz w:val="19"/>
        </w:rPr>
        <w:t xml:space="preserve">[OPEN] </w:t>
      </w:r>
      <w:r>
        <w:rPr>
          <w:rFonts w:ascii="Calibri" w:hAnsi="Calibri"/>
          <w:b w:val="0"/>
          <w:i w:val="0"/>
          <w:sz w:val="21"/>
        </w:rPr>
        <w:t>What did you personally do to verify the PIP's claim that the Q3 report was three business days late?</w:t>
      </w:r>
    </w:p>
    <w:p>
      <w:pPr>
        <w:numPr>
          <w:ilvl w:val="0"/>
          <w:numId w:val="10"/>
        </w:numPr>
        <w:pStyle w:val="Question"/>
        <w:keepLines/>
      </w:pPr>
      <w:r>
        <w:rPr>
          <w:rFonts w:ascii="Calibri" w:hAnsi="Calibri"/>
          <w:b/>
          <w:i w:val="0"/>
          <w:color w:val="1F4D78"/>
          <w:sz w:val="19"/>
        </w:rPr>
        <w:t xml:space="preserve">[OPEN] </w:t>
      </w:r>
      <w:r>
        <w:rPr>
          <w:rFonts w:ascii="Calibri" w:hAnsi="Calibri"/>
          <w:b w:val="0"/>
          <w:i w:val="0"/>
          <w:sz w:val="21"/>
        </w:rPr>
        <w:t>Who supplied that information, and what underlying record did that person use?</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Were you aware LoanStar's Southwest reporting module was unavailable October 2-3, 2023?</w:t>
      </w:r>
    </w:p>
    <w:p>
      <w:pPr>
        <w:numPr>
          <w:ilvl w:val="0"/>
          <w:numId w:val="10"/>
        </w:numPr>
        <w:pStyle w:val="Question"/>
        <w:keepLines/>
      </w:pPr>
      <w:r>
        <w:rPr>
          <w:rFonts w:ascii="Calibri" w:hAnsi="Calibri"/>
          <w:b/>
          <w:i w:val="0"/>
          <w:color w:val="1F4D78"/>
          <w:sz w:val="19"/>
        </w:rPr>
        <w:t xml:space="preserve">[EXHIBIT] </w:t>
      </w:r>
      <w:r>
        <w:rPr>
          <w:rFonts w:ascii="Calibri" w:hAnsi="Calibri"/>
          <w:b w:val="0"/>
          <w:i w:val="0"/>
          <w:sz w:val="21"/>
        </w:rPr>
        <w:t>Ex. 5, Ticket SR-20231002-4471, documents a division-wide outage and an extension from October 2 to October 4, correct?</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The extension applied to all affected Southwest users, including Delgado-Reyes, correct?</w:t>
      </w:r>
    </w:p>
    <w:p>
      <w:pPr>
        <w:numPr>
          <w:ilvl w:val="0"/>
          <w:numId w:val="10"/>
        </w:numPr>
        <w:pStyle w:val="Question"/>
        <w:keepLines/>
      </w:pPr>
      <w:r>
        <w:rPr>
          <w:rFonts w:ascii="Calibri" w:hAnsi="Calibri"/>
          <w:b/>
          <w:i w:val="0"/>
          <w:color w:val="1F4D78"/>
          <w:sz w:val="19"/>
        </w:rPr>
        <w:t xml:space="preserve">[IMPEACH] </w:t>
      </w:r>
      <w:r>
        <w:rPr>
          <w:rFonts w:ascii="Calibri" w:hAnsi="Calibri"/>
          <w:b w:val="0"/>
          <w:i w:val="0"/>
          <w:sz w:val="21"/>
        </w:rPr>
        <w:t>Did your PIP mention the outage or extension?</w:t>
      </w:r>
    </w:p>
    <w:p>
      <w:pPr>
        <w:numPr>
          <w:ilvl w:val="0"/>
          <w:numId w:val="10"/>
        </w:numPr>
        <w:pStyle w:val="Question"/>
        <w:keepLines/>
      </w:pPr>
      <w:r>
        <w:rPr>
          <w:rFonts w:ascii="Calibri" w:hAnsi="Calibri"/>
          <w:b/>
          <w:i w:val="0"/>
          <w:color w:val="1F4D78"/>
          <w:sz w:val="19"/>
        </w:rPr>
        <w:t xml:space="preserve">[FOLLOW-UP] </w:t>
      </w:r>
      <w:r>
        <w:rPr>
          <w:rFonts w:ascii="Calibri" w:hAnsi="Calibri"/>
          <w:b w:val="0"/>
          <w:i w:val="0"/>
          <w:sz w:val="21"/>
        </w:rPr>
        <w:t>If you were unaware, why did you sign a PIP alleging lateness without checking the bank's outage record?</w:t>
      </w:r>
    </w:p>
    <w:p>
      <w:pPr>
        <w:numPr>
          <w:ilvl w:val="0"/>
          <w:numId w:val="10"/>
        </w:numPr>
        <w:pStyle w:val="Question"/>
        <w:keepLines/>
      </w:pPr>
      <w:r>
        <w:rPr>
          <w:rFonts w:ascii="Calibri" w:hAnsi="Calibri"/>
          <w:b/>
          <w:i w:val="0"/>
          <w:color w:val="1F4D78"/>
          <w:sz w:val="19"/>
        </w:rPr>
        <w:t xml:space="preserve">[FOLLOW-UP] </w:t>
      </w:r>
      <w:r>
        <w:rPr>
          <w:rFonts w:ascii="Calibri" w:hAnsi="Calibri"/>
          <w:b w:val="0"/>
          <w:i w:val="0"/>
          <w:sz w:val="21"/>
        </w:rPr>
        <w:t>If you were aware, why did you omit the extension from the PIP?</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Before issuing the PIP, you did not verify the Q4 timestamp, the Q3 extension, comparator treatment, or division averages, correct?</w:t>
      </w:r>
    </w:p>
    <w:p>
      <w:pPr>
        <w:pStyle w:val="Heading2"/>
      </w:pPr>
      <w:r>
        <w:t>10. Performance metrics in division context</w:t>
      </w:r>
    </w:p>
    <w:p>
      <w:pPr>
        <w:pStyle w:val="StrategyNote"/>
        <w:keepLines/>
      </w:pPr>
      <w:r>
        <w:rPr>
          <w:rFonts w:ascii="Calibri" w:hAnsi="Calibri"/>
          <w:b/>
          <w:i w:val="0"/>
          <w:color w:val="1F4D78"/>
          <w:sz w:val="19"/>
        </w:rPr>
        <w:t xml:space="preserve">Target admission: </w:t>
      </w:r>
      <w:r>
        <w:rPr>
          <w:rFonts w:ascii="Calibri" w:hAnsi="Calibri"/>
          <w:b w:val="0"/>
          <w:i w:val="0"/>
          <w:color w:val="667085"/>
          <w:sz w:val="19"/>
        </w:rPr>
        <w:t>Delgado-Reyes's 2.4% delinquency was better than the 2.6% division average, and her $42.3 million originations exceeded the $38.7 million division SVP average; the PIP selectively presented targets without context.</w:t>
      </w:r>
    </w:p>
    <w:p>
      <w:pPr>
        <w:pStyle w:val="StrategyNote"/>
        <w:keepLines/>
      </w:pPr>
      <w:r>
        <w:rPr>
          <w:rFonts w:ascii="Calibri" w:hAnsi="Calibri"/>
          <w:b/>
          <w:i w:val="0"/>
          <w:color w:val="1F4D78"/>
          <w:sz w:val="19"/>
        </w:rPr>
        <w:t xml:space="preserve">Documents: </w:t>
      </w:r>
      <w:r>
        <w:rPr>
          <w:rFonts w:ascii="Calibri" w:hAnsi="Calibri"/>
          <w:b w:val="0"/>
          <w:i w:val="0"/>
          <w:color w:val="667085"/>
          <w:sz w:val="19"/>
        </w:rPr>
        <w:t>Ex. 6 SVP performance data; Exs. 3 and 8 review/PIP.</w:t>
      </w:r>
    </w:p>
    <w:p>
      <w:pPr>
        <w:pStyle w:val="StrategyNote"/>
        <w:keepLines/>
      </w:pPr>
      <w:r>
        <w:rPr>
          <w:rFonts w:ascii="Calibri" w:hAnsi="Calibri"/>
          <w:b/>
          <w:i w:val="0"/>
          <w:color w:val="1F4D78"/>
          <w:sz w:val="19"/>
        </w:rPr>
        <w:t xml:space="preserve">Sequence: </w:t>
      </w:r>
      <w:r>
        <w:rPr>
          <w:rFonts w:ascii="Calibri" w:hAnsi="Calibri"/>
          <w:b w:val="0"/>
          <w:i/>
          <w:color w:val="667085"/>
          <w:sz w:val="19"/>
        </w:rPr>
        <w:t>Establish data familiarity and division averages before asking why the documents omitted them.</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You relied on the 2.0% delinquency target and $50 million origination target in the review and PIP, correct?</w:t>
      </w:r>
    </w:p>
    <w:p>
      <w:pPr>
        <w:numPr>
          <w:ilvl w:val="0"/>
          <w:numId w:val="10"/>
        </w:numPr>
        <w:pStyle w:val="Question"/>
        <w:keepLines/>
      </w:pPr>
      <w:r>
        <w:rPr>
          <w:rFonts w:ascii="Calibri" w:hAnsi="Calibri"/>
          <w:b/>
          <w:i w:val="0"/>
          <w:color w:val="1F4D78"/>
          <w:sz w:val="19"/>
        </w:rPr>
        <w:t xml:space="preserve">[EXHIBIT] </w:t>
      </w:r>
      <w:r>
        <w:rPr>
          <w:rFonts w:ascii="Calibri" w:hAnsi="Calibri"/>
          <w:b w:val="0"/>
          <w:i w:val="0"/>
          <w:sz w:val="21"/>
        </w:rPr>
        <w:t>Ex. 6 reports a division-average delinquency rate of 2.6%, correct?</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Delgado-Reyes's 2.4% rate was better than the division average, correct?</w:t>
      </w:r>
    </w:p>
    <w:p>
      <w:pPr>
        <w:numPr>
          <w:ilvl w:val="0"/>
          <w:numId w:val="10"/>
        </w:numPr>
        <w:pStyle w:val="Question"/>
        <w:keepLines/>
      </w:pPr>
      <w:r>
        <w:rPr>
          <w:rFonts w:ascii="Calibri" w:hAnsi="Calibri"/>
          <w:b/>
          <w:i w:val="0"/>
          <w:color w:val="1F4D78"/>
          <w:sz w:val="19"/>
        </w:rPr>
        <w:t xml:space="preserve">[EXHIBIT] </w:t>
      </w:r>
      <w:r>
        <w:rPr>
          <w:rFonts w:ascii="Calibri" w:hAnsi="Calibri"/>
          <w:b w:val="0"/>
          <w:i w:val="0"/>
          <w:sz w:val="21"/>
        </w:rPr>
        <w:t>The division's five SVPs originated $193.5 million, or $38.7 million on average, correct?</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Delgado-Reyes's $42.3 million exceeded that average by $3.6 million, correct?</w:t>
      </w:r>
    </w:p>
    <w:p>
      <w:pPr>
        <w:numPr>
          <w:ilvl w:val="0"/>
          <w:numId w:val="10"/>
        </w:numPr>
        <w:pStyle w:val="Question"/>
        <w:keepLines/>
      </w:pPr>
      <w:r>
        <w:rPr>
          <w:rFonts w:ascii="Calibri" w:hAnsi="Calibri"/>
          <w:b/>
          <w:i w:val="0"/>
          <w:color w:val="1F4D78"/>
          <w:sz w:val="19"/>
        </w:rPr>
        <w:t xml:space="preserve">[IMPEACH] </w:t>
      </w:r>
      <w:r>
        <w:rPr>
          <w:rFonts w:ascii="Calibri" w:hAnsi="Calibri"/>
          <w:b w:val="0"/>
          <w:i w:val="0"/>
          <w:sz w:val="21"/>
        </w:rPr>
        <w:t>Neither the review nor PIP discloses that she outperformed both division averages, does it?</w:t>
      </w:r>
    </w:p>
    <w:p>
      <w:pPr>
        <w:numPr>
          <w:ilvl w:val="0"/>
          <w:numId w:val="10"/>
        </w:numPr>
        <w:pStyle w:val="Question"/>
        <w:keepLines/>
      </w:pPr>
      <w:r>
        <w:rPr>
          <w:rFonts w:ascii="Calibri" w:hAnsi="Calibri"/>
          <w:b/>
          <w:i w:val="0"/>
          <w:color w:val="1F4D78"/>
          <w:sz w:val="19"/>
        </w:rPr>
        <w:t xml:space="preserve">[FOLLOW-UP] </w:t>
      </w:r>
      <w:r>
        <w:rPr>
          <w:rFonts w:ascii="Calibri" w:hAnsi="Calibri"/>
          <w:b w:val="0"/>
          <w:i w:val="0"/>
          <w:sz w:val="21"/>
        </w:rPr>
        <w:t>Why did you present only target misses while omitting relative performance?</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Relative performance was relevant to whether she was uniquely deficient, correct?</w:t>
      </w:r>
    </w:p>
    <w:p>
      <w:pPr>
        <w:pStyle w:val="Heading2"/>
      </w:pPr>
      <w:r>
        <w:t>11. Marcus Langley and Brian Kowalski comparators</w:t>
      </w:r>
    </w:p>
    <w:p>
      <w:pPr>
        <w:pStyle w:val="StrategyNote"/>
        <w:keepLines/>
      </w:pPr>
      <w:r>
        <w:rPr>
          <w:rFonts w:ascii="Calibri" w:hAnsi="Calibri"/>
          <w:b/>
          <w:i w:val="0"/>
          <w:color w:val="1F4D78"/>
          <w:sz w:val="19"/>
        </w:rPr>
        <w:t xml:space="preserve">Target admission: </w:t>
      </w:r>
      <w:r>
        <w:rPr>
          <w:rFonts w:ascii="Calibri" w:hAnsi="Calibri"/>
          <w:b w:val="0"/>
          <w:i w:val="0"/>
          <w:color w:val="667085"/>
          <w:sz w:val="19"/>
        </w:rPr>
        <w:t>Langley and Kowalski were white male SVPs in the same division under Whitford, had worse metrics, and received no PIP or discipline.</w:t>
      </w:r>
    </w:p>
    <w:p>
      <w:pPr>
        <w:pStyle w:val="StrategyNote"/>
        <w:keepLines/>
      </w:pPr>
      <w:r>
        <w:rPr>
          <w:rFonts w:ascii="Calibri" w:hAnsi="Calibri"/>
          <w:b/>
          <w:i w:val="0"/>
          <w:color w:val="1F4D78"/>
          <w:sz w:val="19"/>
        </w:rPr>
        <w:t xml:space="preserve">Documents: </w:t>
      </w:r>
      <w:r>
        <w:rPr>
          <w:rFonts w:ascii="Calibri" w:hAnsi="Calibri"/>
          <w:b w:val="0"/>
          <w:i w:val="0"/>
          <w:color w:val="667085"/>
          <w:sz w:val="19"/>
        </w:rPr>
        <w:t>Ex. 6 SVP performance data; Ex. 9 §7.4.3 comparator documentation requirement.</w:t>
      </w:r>
    </w:p>
    <w:p>
      <w:pPr>
        <w:pStyle w:val="StrategyNote"/>
        <w:keepLines/>
      </w:pPr>
      <w:r>
        <w:rPr>
          <w:rFonts w:ascii="Calibri" w:hAnsi="Calibri"/>
          <w:b/>
          <w:i w:val="0"/>
          <w:color w:val="1F4D78"/>
          <w:sz w:val="19"/>
        </w:rPr>
        <w:t xml:space="preserve">Sequence: </w:t>
      </w:r>
      <w:r>
        <w:rPr>
          <w:rFonts w:ascii="Calibri" w:hAnsi="Calibri"/>
          <w:b w:val="0"/>
          <w:i/>
          <w:color w:val="667085"/>
          <w:sz w:val="19"/>
        </w:rPr>
        <w:t>Authenticate job, supervisor, standards, and data before treatment. Require a metric-specific reason for each disparity; reject vague 'holistic' answers with documents.</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Marcus Langley was a white male SVP of Commercial Lending in your division reporting directly to you, correct?</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He was subject to the same 2.0% delinquency and $50 million origination targets, correct?</w:t>
      </w:r>
    </w:p>
    <w:p>
      <w:pPr>
        <w:numPr>
          <w:ilvl w:val="0"/>
          <w:numId w:val="10"/>
        </w:numPr>
        <w:pStyle w:val="Question"/>
        <w:keepLines/>
      </w:pPr>
      <w:r>
        <w:rPr>
          <w:rFonts w:ascii="Calibri" w:hAnsi="Calibri"/>
          <w:b/>
          <w:i w:val="0"/>
          <w:color w:val="1F4D78"/>
          <w:sz w:val="19"/>
        </w:rPr>
        <w:t xml:space="preserve">[EXHIBIT] </w:t>
      </w:r>
      <w:r>
        <w:rPr>
          <w:rFonts w:ascii="Calibri" w:hAnsi="Calibri"/>
          <w:b w:val="0"/>
          <w:i w:val="0"/>
          <w:sz w:val="21"/>
        </w:rPr>
        <w:t>Ex. 6 shows Langley's delinquency rate was 3.1% versus Delgado-Reyes's 2.4%, correct?</w:t>
      </w:r>
    </w:p>
    <w:p>
      <w:pPr>
        <w:numPr>
          <w:ilvl w:val="0"/>
          <w:numId w:val="10"/>
        </w:numPr>
        <w:pStyle w:val="Question"/>
        <w:keepLines/>
      </w:pPr>
      <w:r>
        <w:rPr>
          <w:rFonts w:ascii="Calibri" w:hAnsi="Calibri"/>
          <w:b/>
          <w:i w:val="0"/>
          <w:color w:val="1F4D78"/>
          <w:sz w:val="19"/>
        </w:rPr>
        <w:t xml:space="preserve">[EXHIBIT] </w:t>
      </w:r>
      <w:r>
        <w:rPr>
          <w:rFonts w:ascii="Calibri" w:hAnsi="Calibri"/>
          <w:b w:val="0"/>
          <w:i w:val="0"/>
          <w:sz w:val="21"/>
        </w:rPr>
        <w:t>Langley originated $36.1 million versus Delgado-Reyes's $42.3 million, correct?</w:t>
      </w:r>
    </w:p>
    <w:p>
      <w:pPr>
        <w:numPr>
          <w:ilvl w:val="0"/>
          <w:numId w:val="10"/>
        </w:numPr>
        <w:pStyle w:val="Question"/>
        <w:keepLines/>
      </w:pPr>
      <w:r>
        <w:rPr>
          <w:rFonts w:ascii="Calibri" w:hAnsi="Calibri"/>
          <w:b/>
          <w:i w:val="0"/>
          <w:color w:val="1F4D78"/>
          <w:sz w:val="19"/>
        </w:rPr>
        <w:t xml:space="preserve">[EXHIBIT] </w:t>
      </w:r>
      <w:r>
        <w:rPr>
          <w:rFonts w:ascii="Calibri" w:hAnsi="Calibri"/>
          <w:b w:val="0"/>
          <w:i w:val="0"/>
          <w:sz w:val="21"/>
        </w:rPr>
        <w:t>Langley had three defaults totaling $4.7 million versus her two totaling $3.1 million, correct?</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Langley received no PIP, formal discipline, warning, or termination, correct?</w:t>
      </w:r>
    </w:p>
    <w:p>
      <w:pPr>
        <w:numPr>
          <w:ilvl w:val="0"/>
          <w:numId w:val="10"/>
        </w:numPr>
        <w:pStyle w:val="Question"/>
        <w:keepLines/>
      </w:pPr>
      <w:r>
        <w:rPr>
          <w:rFonts w:ascii="Calibri" w:hAnsi="Calibri"/>
          <w:b/>
          <w:i w:val="0"/>
          <w:color w:val="1F4D78"/>
          <w:sz w:val="19"/>
        </w:rPr>
        <w:t xml:space="preserve">[OPEN] </w:t>
      </w:r>
      <w:r>
        <w:rPr>
          <w:rFonts w:ascii="Calibri" w:hAnsi="Calibri"/>
          <w:b w:val="0"/>
          <w:i w:val="0"/>
          <w:sz w:val="21"/>
        </w:rPr>
        <w:t>Explain every legitimate factor that caused you to discipline Delgado-Reyes but not Langley.</w:t>
      </w:r>
    </w:p>
    <w:p>
      <w:pPr>
        <w:numPr>
          <w:ilvl w:val="0"/>
          <w:numId w:val="10"/>
        </w:numPr>
        <w:pStyle w:val="Question"/>
        <w:keepLines/>
      </w:pPr>
      <w:r>
        <w:rPr>
          <w:rFonts w:ascii="Calibri" w:hAnsi="Calibri"/>
          <w:b/>
          <w:i w:val="0"/>
          <w:color w:val="1F4D78"/>
          <w:sz w:val="19"/>
        </w:rPr>
        <w:t xml:space="preserve">[FOLLOW-UP] </w:t>
      </w:r>
      <w:r>
        <w:rPr>
          <w:rFonts w:ascii="Calibri" w:hAnsi="Calibri"/>
          <w:b w:val="0"/>
          <w:i w:val="0"/>
          <w:sz w:val="21"/>
        </w:rPr>
        <w:t>Identify the contemporaneous document recording each asserted distinction.</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Brian Kowalski was also a white male SVP in the same division reporting to you, correct?</w:t>
      </w:r>
    </w:p>
    <w:p>
      <w:pPr>
        <w:numPr>
          <w:ilvl w:val="0"/>
          <w:numId w:val="10"/>
        </w:numPr>
        <w:pStyle w:val="Question"/>
        <w:keepLines/>
      </w:pPr>
      <w:r>
        <w:rPr>
          <w:rFonts w:ascii="Calibri" w:hAnsi="Calibri"/>
          <w:b/>
          <w:i w:val="0"/>
          <w:color w:val="1F4D78"/>
          <w:sz w:val="19"/>
        </w:rPr>
        <w:t xml:space="preserve">[EXHIBIT] </w:t>
      </w:r>
      <w:r>
        <w:rPr>
          <w:rFonts w:ascii="Calibri" w:hAnsi="Calibri"/>
          <w:b w:val="0"/>
          <w:i w:val="0"/>
          <w:sz w:val="21"/>
        </w:rPr>
        <w:t>Kowalski had a 2.8% delinquency rate and $39.4 million originations - both worse than Delgado-Reyes - correct?</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Kowalski received no PIP or discipline, correct?</w:t>
      </w:r>
    </w:p>
    <w:p>
      <w:pPr>
        <w:numPr>
          <w:ilvl w:val="0"/>
          <w:numId w:val="10"/>
        </w:numPr>
        <w:pStyle w:val="Question"/>
        <w:keepLines/>
      </w:pPr>
      <w:r>
        <w:rPr>
          <w:rFonts w:ascii="Calibri" w:hAnsi="Calibri"/>
          <w:b/>
          <w:i w:val="0"/>
          <w:color w:val="1F4D78"/>
          <w:sz w:val="19"/>
        </w:rPr>
        <w:t xml:space="preserve">[OPEN] </w:t>
      </w:r>
      <w:r>
        <w:rPr>
          <w:rFonts w:ascii="Calibri" w:hAnsi="Calibri"/>
          <w:b w:val="0"/>
          <w:i w:val="0"/>
          <w:sz w:val="21"/>
        </w:rPr>
        <w:t>Why was Kowalski not subjected to the same standards and consequences?</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Before Delgado-Reyes's PIP, did you prepare the comparator analysis Section 7.4.3 required?</w:t>
      </w:r>
    </w:p>
    <w:p>
      <w:pPr>
        <w:numPr>
          <w:ilvl w:val="0"/>
          <w:numId w:val="10"/>
        </w:numPr>
        <w:pStyle w:val="Question"/>
        <w:keepLines/>
      </w:pPr>
      <w:r>
        <w:rPr>
          <w:rFonts w:ascii="Calibri" w:hAnsi="Calibri"/>
          <w:b/>
          <w:i w:val="0"/>
          <w:color w:val="1F4D78"/>
          <w:sz w:val="19"/>
        </w:rPr>
        <w:t xml:space="preserve">[IMPEACH] </w:t>
      </w:r>
      <w:r>
        <w:rPr>
          <w:rFonts w:ascii="Calibri" w:hAnsi="Calibri"/>
          <w:b w:val="0"/>
          <w:i w:val="0"/>
          <w:sz w:val="21"/>
        </w:rPr>
        <w:t>No document you signed identifies a performance metric on which Langley was better than Delgado-Reyes, does it?</w:t>
      </w:r>
    </w:p>
    <w:p>
      <w:pPr>
        <w:pStyle w:val="Heading2"/>
      </w:pPr>
      <w:r>
        <w:t>12. PIP objectives, protest, and premature termination</w:t>
      </w:r>
    </w:p>
    <w:p>
      <w:pPr>
        <w:pStyle w:val="StrategyNote"/>
        <w:keepLines/>
      </w:pPr>
      <w:r>
        <w:rPr>
          <w:rFonts w:ascii="Calibri" w:hAnsi="Calibri"/>
          <w:b/>
          <w:i w:val="0"/>
          <w:color w:val="1F4D78"/>
          <w:sz w:val="19"/>
        </w:rPr>
        <w:t xml:space="preserve">Target admission: </w:t>
      </w:r>
      <w:r>
        <w:rPr>
          <w:rFonts w:ascii="Calibri" w:hAnsi="Calibri"/>
          <w:b w:val="0"/>
          <w:i w:val="0"/>
          <w:color w:val="667085"/>
          <w:sz w:val="19"/>
        </w:rPr>
        <w:t>The PIP promised a 30-day opportunity ending March 21; Whitford terminated Delgado-Reyes March 14 without the full period, mid-PIP review, coaching, warning, or a fair chance to complete objectives.</w:t>
      </w:r>
    </w:p>
    <w:p>
      <w:pPr>
        <w:pStyle w:val="StrategyNote"/>
        <w:keepLines/>
      </w:pPr>
      <w:r>
        <w:rPr>
          <w:rFonts w:ascii="Calibri" w:hAnsi="Calibri"/>
          <w:b/>
          <w:i w:val="0"/>
          <w:color w:val="1F4D78"/>
          <w:sz w:val="19"/>
        </w:rPr>
        <w:t xml:space="preserve">Documents: </w:t>
      </w:r>
      <w:r>
        <w:rPr>
          <w:rFonts w:ascii="Calibri" w:hAnsi="Calibri"/>
          <w:b w:val="0"/>
          <w:i w:val="0"/>
          <w:color w:val="667085"/>
          <w:sz w:val="19"/>
        </w:rPr>
        <w:t>Ex. 8 PIP; Ex. 10 termination letter.</w:t>
      </w:r>
    </w:p>
    <w:p>
      <w:pPr>
        <w:pStyle w:val="StrategyNote"/>
        <w:keepLines/>
      </w:pPr>
      <w:r>
        <w:rPr>
          <w:rFonts w:ascii="Calibri" w:hAnsi="Calibri"/>
          <w:b/>
          <w:i w:val="0"/>
          <w:color w:val="1F4D78"/>
          <w:sz w:val="19"/>
        </w:rPr>
        <w:t xml:space="preserve">Sequence: </w:t>
      </w:r>
      <w:r>
        <w:rPr>
          <w:rFonts w:ascii="Calibri" w:hAnsi="Calibri"/>
          <w:b w:val="0"/>
          <w:i/>
          <w:color w:val="667085"/>
          <w:sz w:val="19"/>
        </w:rPr>
        <w:t>Fix the promised period and objectives first. Then establish what remained possible during the final seven days and the absence of progressive steps.</w:t>
      </w:r>
    </w:p>
    <w:p>
      <w:pPr>
        <w:numPr>
          <w:ilvl w:val="0"/>
          <w:numId w:val="10"/>
        </w:numPr>
        <w:pStyle w:val="Question"/>
        <w:keepLines/>
      </w:pPr>
      <w:r>
        <w:rPr>
          <w:rFonts w:ascii="Calibri" w:hAnsi="Calibri"/>
          <w:b/>
          <w:i w:val="0"/>
          <w:color w:val="1F4D78"/>
          <w:sz w:val="19"/>
        </w:rPr>
        <w:t xml:space="preserve">[EXHIBIT] </w:t>
      </w:r>
      <w:r>
        <w:rPr>
          <w:rFonts w:ascii="Calibri" w:hAnsi="Calibri"/>
          <w:b w:val="0"/>
          <w:i w:val="0"/>
          <w:sz w:val="21"/>
        </w:rPr>
        <w:t>Ex. 8 states the PIP began February 20, lasted 30 calendar days, and ended March 21, correct?</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It stated that failure to meet objectives by March 21 may lead to discipline, correct?</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The objectives included activity and submissions scheduled throughout the 30-day period, correct?</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Delgado-Reyes wrote, 'Signed under protest. I dispute the accuracy of the performance deficiencies,' correct?</w:t>
      </w:r>
    </w:p>
    <w:p>
      <w:pPr>
        <w:numPr>
          <w:ilvl w:val="0"/>
          <w:numId w:val="10"/>
        </w:numPr>
        <w:pStyle w:val="Question"/>
        <w:keepLines/>
      </w:pPr>
      <w:r>
        <w:rPr>
          <w:rFonts w:ascii="Calibri" w:hAnsi="Calibri"/>
          <w:b/>
          <w:i w:val="0"/>
          <w:color w:val="1F4D78"/>
          <w:sz w:val="19"/>
        </w:rPr>
        <w:t xml:space="preserve">[OPEN] </w:t>
      </w:r>
      <w:r>
        <w:rPr>
          <w:rFonts w:ascii="Calibri" w:hAnsi="Calibri"/>
          <w:b w:val="0"/>
          <w:i w:val="0"/>
          <w:sz w:val="21"/>
        </w:rPr>
        <w:t>What investigation did you conduct after receiving that protest?</w:t>
      </w:r>
    </w:p>
    <w:p>
      <w:pPr>
        <w:numPr>
          <w:ilvl w:val="0"/>
          <w:numId w:val="10"/>
        </w:numPr>
        <w:pStyle w:val="Question"/>
        <w:keepLines/>
      </w:pPr>
      <w:r>
        <w:rPr>
          <w:rFonts w:ascii="Calibri" w:hAnsi="Calibri"/>
          <w:b/>
          <w:i w:val="0"/>
          <w:color w:val="1F4D78"/>
          <w:sz w:val="19"/>
        </w:rPr>
        <w:t xml:space="preserve">[EXHIBIT] </w:t>
      </w:r>
      <w:r>
        <w:rPr>
          <w:rFonts w:ascii="Calibri" w:hAnsi="Calibri"/>
          <w:b w:val="0"/>
          <w:i w:val="0"/>
          <w:sz w:val="21"/>
        </w:rPr>
        <w:t>Ex. 10 terminated her March 14, seven calendar days before March 21, correct?</w:t>
      </w:r>
    </w:p>
    <w:p>
      <w:pPr>
        <w:numPr>
          <w:ilvl w:val="0"/>
          <w:numId w:val="10"/>
        </w:numPr>
        <w:pStyle w:val="Question"/>
        <w:keepLines/>
      </w:pPr>
      <w:r>
        <w:rPr>
          <w:rFonts w:ascii="Calibri" w:hAnsi="Calibri"/>
          <w:b/>
          <w:i w:val="0"/>
          <w:color w:val="1F4D78"/>
          <w:sz w:val="19"/>
        </w:rPr>
        <w:t xml:space="preserve">[OPEN] </w:t>
      </w:r>
      <w:r>
        <w:rPr>
          <w:rFonts w:ascii="Calibri" w:hAnsi="Calibri"/>
          <w:b w:val="0"/>
          <w:i w:val="0"/>
          <w:sz w:val="21"/>
        </w:rPr>
        <w:t>Why did you deny her the final seven days to meet the stated objectives?</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Before March 14, you did not provide a formal mid-PIP review, written warning of failure, or additional coaching, correct?</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What objective was impossible to complete by March 21 but could be fairly judged failed on March 14?</w:t>
      </w:r>
    </w:p>
    <w:p>
      <w:pPr>
        <w:numPr>
          <w:ilvl w:val="0"/>
          <w:numId w:val="10"/>
        </w:numPr>
        <w:pStyle w:val="Question"/>
        <w:keepLines/>
      </w:pPr>
      <w:r>
        <w:rPr>
          <w:rFonts w:ascii="Calibri" w:hAnsi="Calibri"/>
          <w:b/>
          <w:i w:val="0"/>
          <w:color w:val="1F4D78"/>
          <w:sz w:val="19"/>
        </w:rPr>
        <w:t xml:space="preserve">[FOLLOW-UP] </w:t>
      </w:r>
      <w:r>
        <w:rPr>
          <w:rFonts w:ascii="Calibri" w:hAnsi="Calibri"/>
          <w:b w:val="0"/>
          <w:i w:val="0"/>
          <w:sz w:val="21"/>
        </w:rPr>
        <w:t>If you rely on the PIP's at-will reservation, why did the bank promise a 30-day meaningful opportunity and a March 21 evaluation date?</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Terminating early prevented her from completing remaining meetings, pipeline activity, and remediation tasks, correct?</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You did not give her a fair opportunity to use the full improvement period, did you?</w:t>
      </w:r>
    </w:p>
    <w:p>
      <w:pPr>
        <w:pStyle w:val="Heading2"/>
      </w:pPr>
      <w:r>
        <w:t>13. Sandra Cho's review and the decision path</w:t>
      </w:r>
    </w:p>
    <w:p>
      <w:pPr>
        <w:pStyle w:val="StrategyNote"/>
        <w:keepLines/>
      </w:pPr>
      <w:r>
        <w:rPr>
          <w:rFonts w:ascii="Calibri" w:hAnsi="Calibri"/>
          <w:b/>
          <w:i w:val="0"/>
          <w:color w:val="1F4D78"/>
          <w:sz w:val="19"/>
        </w:rPr>
        <w:t xml:space="preserve">Target admission: </w:t>
      </w:r>
      <w:r>
        <w:rPr>
          <w:rFonts w:ascii="Calibri" w:hAnsi="Calibri"/>
          <w:b w:val="0"/>
          <w:i w:val="0"/>
          <w:color w:val="667085"/>
          <w:sz w:val="19"/>
        </w:rPr>
        <w:t>Cho trusted Whitford's read, did not independently verify the disputed metrics, and approved the same-day termination; Whitford supplied the causal information and recommendation.</w:t>
      </w:r>
    </w:p>
    <w:p>
      <w:pPr>
        <w:pStyle w:val="StrategyNote"/>
        <w:keepLines/>
      </w:pPr>
      <w:r>
        <w:rPr>
          <w:rFonts w:ascii="Calibri" w:hAnsi="Calibri"/>
          <w:b/>
          <w:i w:val="0"/>
          <w:color w:val="1F4D78"/>
          <w:sz w:val="19"/>
        </w:rPr>
        <w:t xml:space="preserve">Documents: </w:t>
      </w:r>
      <w:r>
        <w:rPr>
          <w:rFonts w:ascii="Calibri" w:hAnsi="Calibri"/>
          <w:b w:val="0"/>
          <w:i w:val="0"/>
          <w:color w:val="667085"/>
          <w:sz w:val="19"/>
        </w:rPr>
        <w:t>Ex. 7 Whitford-Cho email; Ex. 10 termination letter; Ex. 6 data; Exs. 4-5 impeachment records.</w:t>
      </w:r>
    </w:p>
    <w:p>
      <w:pPr>
        <w:pStyle w:val="StrategyNote"/>
        <w:keepLines/>
      </w:pPr>
      <w:r>
        <w:rPr>
          <w:rFonts w:ascii="Calibri" w:hAnsi="Calibri"/>
          <w:b/>
          <w:i w:val="0"/>
          <w:color w:val="1F4D78"/>
          <w:sz w:val="19"/>
        </w:rPr>
        <w:t xml:space="preserve">Sequence: </w:t>
      </w:r>
      <w:r>
        <w:rPr>
          <w:rFonts w:ascii="Calibri" w:hAnsi="Calibri"/>
          <w:b w:val="0"/>
          <w:i/>
          <w:color w:val="667085"/>
          <w:sz w:val="19"/>
        </w:rPr>
        <w:t>Trace every communication, document, and decision participant. Distinguish HR signoff from the policy's CHRO/GC joint written approval.</w:t>
      </w:r>
    </w:p>
    <w:p>
      <w:pPr>
        <w:numPr>
          <w:ilvl w:val="0"/>
          <w:numId w:val="10"/>
        </w:numPr>
        <w:pStyle w:val="Question"/>
        <w:keepLines/>
      </w:pPr>
      <w:r>
        <w:rPr>
          <w:rFonts w:ascii="Calibri" w:hAnsi="Calibri"/>
          <w:b/>
          <w:i w:val="0"/>
          <w:color w:val="1F4D78"/>
          <w:sz w:val="19"/>
        </w:rPr>
        <w:t xml:space="preserve">[OPEN] </w:t>
      </w:r>
      <w:r>
        <w:rPr>
          <w:rFonts w:ascii="Calibri" w:hAnsi="Calibri"/>
          <w:b w:val="0"/>
          <w:i w:val="0"/>
          <w:sz w:val="21"/>
        </w:rPr>
        <w:t>Describe every communication with Sandra Cho about Delgado-Reyes from January 8 through March 14.</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What performance records did you send Cho before the PIP?</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Did you send her the Q4 email timestamp, IT outage ticket, comparator spreadsheet, or division averages?</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Did you tell Cho that the PIP allegation about Q4 lateness was contradicted by your inbox?</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Did you tell Cho that Langley and Kowalski had worse metrics without discipline?</w:t>
      </w:r>
    </w:p>
    <w:p>
      <w:pPr>
        <w:numPr>
          <w:ilvl w:val="0"/>
          <w:numId w:val="10"/>
        </w:numPr>
        <w:pStyle w:val="Question"/>
        <w:keepLines/>
      </w:pPr>
      <w:r>
        <w:rPr>
          <w:rFonts w:ascii="Calibri" w:hAnsi="Calibri"/>
          <w:b/>
          <w:i w:val="0"/>
          <w:color w:val="1F4D78"/>
          <w:sz w:val="19"/>
        </w:rPr>
        <w:t xml:space="preserve">[OPEN] </w:t>
      </w:r>
      <w:r>
        <w:rPr>
          <w:rFonts w:ascii="Calibri" w:hAnsi="Calibri"/>
          <w:b w:val="0"/>
          <w:i w:val="0"/>
          <w:sz w:val="21"/>
        </w:rPr>
        <w:t>What independent analysis did Cho conduct before approving the PIP?</w:t>
      </w:r>
    </w:p>
    <w:p>
      <w:pPr>
        <w:numPr>
          <w:ilvl w:val="0"/>
          <w:numId w:val="10"/>
        </w:numPr>
        <w:pStyle w:val="Question"/>
        <w:keepLines/>
      </w:pPr>
      <w:r>
        <w:rPr>
          <w:rFonts w:ascii="Calibri" w:hAnsi="Calibri"/>
          <w:b/>
          <w:i w:val="0"/>
          <w:color w:val="1F4D78"/>
          <w:sz w:val="19"/>
        </w:rPr>
        <w:t xml:space="preserve">[OPEN] </w:t>
      </w:r>
      <w:r>
        <w:rPr>
          <w:rFonts w:ascii="Calibri" w:hAnsi="Calibri"/>
          <w:b w:val="0"/>
          <w:i w:val="0"/>
          <w:sz w:val="21"/>
        </w:rPr>
        <w:t>What independent analysis did Cho conduct before approving termination on March 14?</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Did Cho interview Delgado-Reyes, review LoanStar, or ask for additional time or documentation?</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Cho approved your recommendation the same day, correct?</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She relied on your recommendation and your characterization of the performance facts, correct?</w:t>
      </w:r>
    </w:p>
    <w:p>
      <w:pPr>
        <w:numPr>
          <w:ilvl w:val="0"/>
          <w:numId w:val="10"/>
        </w:numPr>
        <w:pStyle w:val="Question"/>
        <w:keepLines/>
      </w:pPr>
      <w:r>
        <w:rPr>
          <w:rFonts w:ascii="Calibri" w:hAnsi="Calibri"/>
          <w:b/>
          <w:i w:val="0"/>
          <w:color w:val="1F4D78"/>
          <w:sz w:val="19"/>
        </w:rPr>
        <w:t xml:space="preserve">[CAT'S PAW] </w:t>
      </w:r>
      <w:r>
        <w:rPr>
          <w:rFonts w:ascii="Calibri" w:hAnsi="Calibri"/>
          <w:b w:val="0"/>
          <w:i w:val="0"/>
          <w:sz w:val="21"/>
        </w:rPr>
        <w:t>Without your recommendation, would Delgado-Reyes have been terminated on March 14?</w:t>
      </w:r>
    </w:p>
    <w:p>
      <w:pPr>
        <w:numPr>
          <w:ilvl w:val="0"/>
          <w:numId w:val="10"/>
        </w:numPr>
        <w:pStyle w:val="Question"/>
        <w:keepLines/>
      </w:pPr>
      <w:r>
        <w:rPr>
          <w:rFonts w:ascii="Calibri" w:hAnsi="Calibri"/>
          <w:b/>
          <w:i w:val="0"/>
          <w:color w:val="1F4D78"/>
          <w:sz w:val="19"/>
        </w:rPr>
        <w:t xml:space="preserve">[FOLLOW-UP] </w:t>
      </w:r>
      <w:r>
        <w:rPr>
          <w:rFonts w:ascii="Calibri" w:hAnsi="Calibri"/>
          <w:b w:val="0"/>
          <w:i w:val="0"/>
          <w:sz w:val="21"/>
        </w:rPr>
        <w:t>Identify any decision-maker who independently discovered and verified the three stated grounds rather than relying on you.</w:t>
      </w:r>
    </w:p>
    <w:p>
      <w:pPr>
        <w:pStyle w:val="Heading2"/>
      </w:pPr>
      <w:r>
        <w:t>14. Lock in the stated reasons and test shifting explanations</w:t>
      </w:r>
    </w:p>
    <w:p>
      <w:pPr>
        <w:pStyle w:val="StrategyNote"/>
        <w:keepLines/>
      </w:pPr>
      <w:r>
        <w:rPr>
          <w:rFonts w:ascii="Calibri" w:hAnsi="Calibri"/>
          <w:b/>
          <w:i w:val="0"/>
          <w:color w:val="1F4D78"/>
          <w:sz w:val="19"/>
        </w:rPr>
        <w:t xml:space="preserve">Target admission: </w:t>
      </w:r>
      <w:r>
        <w:rPr>
          <w:rFonts w:ascii="Calibri" w:hAnsi="Calibri"/>
          <w:b w:val="0"/>
          <w:i w:val="0"/>
          <w:color w:val="667085"/>
          <w:sz w:val="19"/>
        </w:rPr>
        <w:t>The only contemporaneous reasons were the PIP/termination grounds; Whitford cannot add later justifications without admitting post-hoc rationalization.</w:t>
      </w:r>
    </w:p>
    <w:p>
      <w:pPr>
        <w:pStyle w:val="StrategyNote"/>
        <w:keepLines/>
      </w:pPr>
      <w:r>
        <w:rPr>
          <w:rFonts w:ascii="Calibri" w:hAnsi="Calibri"/>
          <w:b/>
          <w:i w:val="0"/>
          <w:color w:val="1F4D78"/>
          <w:sz w:val="19"/>
        </w:rPr>
        <w:t xml:space="preserve">Documents: </w:t>
      </w:r>
      <w:r>
        <w:rPr>
          <w:rFonts w:ascii="Calibri" w:hAnsi="Calibri"/>
          <w:b w:val="0"/>
          <w:i w:val="0"/>
          <w:color w:val="667085"/>
          <w:sz w:val="19"/>
        </w:rPr>
        <w:t>Ex. 8 PIP; Ex. 10 termination letter; Ex. 3 review.</w:t>
      </w:r>
    </w:p>
    <w:p>
      <w:pPr>
        <w:pStyle w:val="StrategyNote"/>
        <w:keepLines/>
      </w:pPr>
      <w:r>
        <w:rPr>
          <w:rFonts w:ascii="Calibri" w:hAnsi="Calibri"/>
          <w:b/>
          <w:i w:val="0"/>
          <w:color w:val="1F4D78"/>
          <w:sz w:val="19"/>
        </w:rPr>
        <w:t xml:space="preserve">Sequence: </w:t>
      </w:r>
      <w:r>
        <w:rPr>
          <w:rFonts w:ascii="Calibri" w:hAnsi="Calibri"/>
          <w:b w:val="0"/>
          <w:i/>
          <w:color w:val="667085"/>
          <w:sz w:val="19"/>
        </w:rPr>
        <w:t>Ask for the complete list before showing the termination letter. Close the universe of reasons and identify anything discovered later.</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State every reason for Delgado-Reyes's termination, without omitting any.</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Are the PIP failures, delinquency, origination volume, and alleged late reports the complete reasons?</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No discriminatory complaint, personality issue, client concern, misconduct allegation, or other reason contributed, correct?</w:t>
      </w:r>
    </w:p>
    <w:p>
      <w:pPr>
        <w:numPr>
          <w:ilvl w:val="0"/>
          <w:numId w:val="10"/>
        </w:numPr>
        <w:pStyle w:val="Question"/>
        <w:keepLines/>
      </w:pPr>
      <w:r>
        <w:rPr>
          <w:rFonts w:ascii="Calibri" w:hAnsi="Calibri"/>
          <w:b/>
          <w:i w:val="0"/>
          <w:color w:val="1F4D78"/>
          <w:sz w:val="19"/>
        </w:rPr>
        <w:t xml:space="preserve">[EXHIBIT] </w:t>
      </w:r>
      <w:r>
        <w:rPr>
          <w:rFonts w:ascii="Calibri" w:hAnsi="Calibri"/>
          <w:b w:val="0"/>
          <w:i w:val="0"/>
          <w:sz w:val="21"/>
        </w:rPr>
        <w:t>Ex. 10 identifies 'failure to meet PIP requirements and continued performance deficiencies' as the basis. It identifies no other basis, correct?</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As of March 14, were there any performance concerns not stated in the PIP or termination letter?</w:t>
      </w:r>
    </w:p>
    <w:p>
      <w:pPr>
        <w:numPr>
          <w:ilvl w:val="0"/>
          <w:numId w:val="10"/>
        </w:numPr>
        <w:pStyle w:val="Question"/>
        <w:keepLines/>
      </w:pPr>
      <w:r>
        <w:rPr>
          <w:rFonts w:ascii="Calibri" w:hAnsi="Calibri"/>
          <w:b/>
          <w:i w:val="0"/>
          <w:color w:val="1F4D78"/>
          <w:sz w:val="19"/>
        </w:rPr>
        <w:t xml:space="preserve">[POST-HOC] </w:t>
      </w:r>
      <w:r>
        <w:rPr>
          <w:rFonts w:ascii="Calibri" w:hAnsi="Calibri"/>
          <w:b w:val="0"/>
          <w:i w:val="0"/>
          <w:sz w:val="21"/>
        </w:rPr>
        <w:t>Since March 14, has anyone identified an additional justification not stated then? Identify each one, when it emerged, and its source.</w:t>
      </w:r>
    </w:p>
    <w:p>
      <w:pPr>
        <w:numPr>
          <w:ilvl w:val="0"/>
          <w:numId w:val="10"/>
        </w:numPr>
        <w:pStyle w:val="Question"/>
        <w:keepLines/>
      </w:pPr>
      <w:r>
        <w:rPr>
          <w:rFonts w:ascii="Calibri" w:hAnsi="Calibri"/>
          <w:b/>
          <w:i w:val="0"/>
          <w:color w:val="1F4D78"/>
          <w:sz w:val="19"/>
        </w:rPr>
        <w:t xml:space="preserve">[POST-HOC] </w:t>
      </w:r>
      <w:r>
        <w:rPr>
          <w:rFonts w:ascii="Calibri" w:hAnsi="Calibri"/>
          <w:b w:val="0"/>
          <w:i w:val="0"/>
          <w:sz w:val="21"/>
        </w:rPr>
        <w:t>Was any after-acquired evidence used to defend the termination even though it played no role in the decision?</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Any reason first articulated after termination could not have caused the March 14 decision, correct?</w:t>
      </w:r>
    </w:p>
    <w:p>
      <w:pPr>
        <w:pStyle w:val="Heading2"/>
      </w:pPr>
      <w:r>
        <w:t>15. Pattern of retaliation against complainants</w:t>
      </w:r>
    </w:p>
    <w:p>
      <w:pPr>
        <w:pStyle w:val="StrategyNote"/>
        <w:keepLines/>
      </w:pPr>
      <w:r>
        <w:rPr>
          <w:rFonts w:ascii="Calibri" w:hAnsi="Calibri"/>
          <w:b/>
          <w:i w:val="0"/>
          <w:color w:val="1F4D78"/>
          <w:sz w:val="19"/>
        </w:rPr>
        <w:t xml:space="preserve">Target admission: </w:t>
      </w:r>
      <w:r>
        <w:rPr>
          <w:rFonts w:ascii="Calibri" w:hAnsi="Calibri"/>
          <w:b w:val="0"/>
          <w:i w:val="0"/>
          <w:color w:val="667085"/>
          <w:sz w:val="19"/>
        </w:rPr>
        <w:t>Between 2020 and 2024, four of six Southwest complainants were terminated within 12 months; three of the four were employees of color; the two retained complainants were white; Whitford had involvement or knowledge.</w:t>
      </w:r>
    </w:p>
    <w:p>
      <w:pPr>
        <w:pStyle w:val="StrategyNote"/>
        <w:keepLines/>
      </w:pPr>
      <w:r>
        <w:rPr>
          <w:rFonts w:ascii="Calibri" w:hAnsi="Calibri"/>
          <w:b/>
          <w:i w:val="0"/>
          <w:color w:val="1F4D78"/>
          <w:sz w:val="19"/>
        </w:rPr>
        <w:t xml:space="preserve">Documents: </w:t>
      </w:r>
      <w:r>
        <w:rPr>
          <w:rFonts w:ascii="Calibri" w:hAnsi="Calibri"/>
          <w:b w:val="0"/>
          <w:i w:val="0"/>
          <w:color w:val="667085"/>
          <w:sz w:val="19"/>
        </w:rPr>
        <w:t>Ex. 12 First Amended Complaint ¶¶79-84; HR and personnel records to be identified by witness.</w:t>
      </w:r>
    </w:p>
    <w:p>
      <w:pPr>
        <w:pStyle w:val="StrategyNote"/>
        <w:keepLines/>
      </w:pPr>
      <w:r>
        <w:rPr>
          <w:rFonts w:ascii="Calibri" w:hAnsi="Calibri"/>
          <w:b/>
          <w:i w:val="0"/>
          <w:color w:val="1F4D78"/>
          <w:sz w:val="19"/>
        </w:rPr>
        <w:t xml:space="preserve">Sequence: </w:t>
      </w:r>
      <w:r>
        <w:rPr>
          <w:rFonts w:ascii="Calibri" w:hAnsi="Calibri"/>
          <w:b w:val="0"/>
          <w:i/>
          <w:color w:val="667085"/>
          <w:sz w:val="19"/>
        </w:rPr>
        <w:t>Seek names, roles, dates, and decision files. Avoid asking Whitford to accept the pleaded statistic before establishing his knowledge and record sources.</w:t>
      </w:r>
    </w:p>
    <w:p>
      <w:pPr>
        <w:numPr>
          <w:ilvl w:val="0"/>
          <w:numId w:val="10"/>
        </w:numPr>
        <w:pStyle w:val="Question"/>
        <w:keepLines/>
      </w:pPr>
      <w:r>
        <w:rPr>
          <w:rFonts w:ascii="Calibri" w:hAnsi="Calibri"/>
          <w:b/>
          <w:i w:val="0"/>
          <w:color w:val="1F4D78"/>
          <w:sz w:val="19"/>
        </w:rPr>
        <w:t xml:space="preserve">[OPEN] </w:t>
      </w:r>
      <w:r>
        <w:rPr>
          <w:rFonts w:ascii="Calibri" w:hAnsi="Calibri"/>
          <w:b w:val="0"/>
          <w:i w:val="0"/>
          <w:sz w:val="21"/>
        </w:rPr>
        <w:t>Identify every Southwest employee complaint of discrimination or harassment you learned of from 2020 through 2024.</w:t>
      </w:r>
    </w:p>
    <w:p>
      <w:pPr>
        <w:numPr>
          <w:ilvl w:val="0"/>
          <w:numId w:val="10"/>
        </w:numPr>
        <w:pStyle w:val="Question"/>
        <w:keepLines/>
      </w:pPr>
      <w:r>
        <w:rPr>
          <w:rFonts w:ascii="Calibri" w:hAnsi="Calibri"/>
          <w:b/>
          <w:i w:val="0"/>
          <w:color w:val="1F4D78"/>
          <w:sz w:val="19"/>
        </w:rPr>
        <w:t xml:space="preserve">[OPEN] </w:t>
      </w:r>
      <w:r>
        <w:rPr>
          <w:rFonts w:ascii="Calibri" w:hAnsi="Calibri"/>
          <w:b w:val="0"/>
          <w:i w:val="0"/>
          <w:sz w:val="21"/>
        </w:rPr>
        <w:t>For each complainant, state whether the employee was later disciplined or terminated and your role in that decision.</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Were six formal complaints filed during that period?</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Were four of those six complainants terminated within 12 months?</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Were three of the four terminated complainants employees of color?</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Were the two complainants who were not terminated white employees?</w:t>
      </w:r>
    </w:p>
    <w:p>
      <w:pPr>
        <w:numPr>
          <w:ilvl w:val="0"/>
          <w:numId w:val="10"/>
        </w:numPr>
        <w:pStyle w:val="Question"/>
        <w:keepLines/>
      </w:pPr>
      <w:r>
        <w:rPr>
          <w:rFonts w:ascii="Calibri" w:hAnsi="Calibri"/>
          <w:b/>
          <w:i w:val="0"/>
          <w:color w:val="1F4D78"/>
          <w:sz w:val="19"/>
        </w:rPr>
        <w:t xml:space="preserve">[OPEN] </w:t>
      </w:r>
      <w:r>
        <w:rPr>
          <w:rFonts w:ascii="Calibri" w:hAnsi="Calibri"/>
          <w:b w:val="0"/>
          <w:i w:val="0"/>
          <w:sz w:val="21"/>
        </w:rPr>
        <w:t>What did you do to ensure complaints did not influence later discipline in each case?</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Identify every termination in that group you recommended, approved, discussed, or knew about before implementation.</w:t>
      </w:r>
    </w:p>
    <w:p>
      <w:pPr>
        <w:numPr>
          <w:ilvl w:val="0"/>
          <w:numId w:val="10"/>
        </w:numPr>
        <w:pStyle w:val="Question"/>
        <w:keepLines/>
      </w:pPr>
      <w:r>
        <w:rPr>
          <w:rFonts w:ascii="Calibri" w:hAnsi="Calibri"/>
          <w:b/>
          <w:i w:val="0"/>
          <w:color w:val="1F4D78"/>
          <w:sz w:val="19"/>
        </w:rPr>
        <w:t xml:space="preserve">[FOLLOW-UP] </w:t>
      </w:r>
      <w:r>
        <w:rPr>
          <w:rFonts w:ascii="Calibri" w:hAnsi="Calibri"/>
          <w:b w:val="0"/>
          <w:i w:val="0"/>
          <w:sz w:val="21"/>
        </w:rPr>
        <w:t>Identify the Section 7.4 written approvals and comparator analyses for each post-complaint action.</w:t>
      </w:r>
    </w:p>
    <w:p>
      <w:pPr>
        <w:pStyle w:val="Heading2"/>
      </w:pPr>
      <w:r>
        <w:t>16. Malice or reckless indifference; emotional-distress foundation</w:t>
      </w:r>
    </w:p>
    <w:p>
      <w:pPr>
        <w:pStyle w:val="StrategyNote"/>
        <w:keepLines/>
      </w:pPr>
      <w:r>
        <w:rPr>
          <w:rFonts w:ascii="Calibri" w:hAnsi="Calibri"/>
          <w:b/>
          <w:i w:val="0"/>
          <w:color w:val="1F4D78"/>
          <w:sz w:val="19"/>
        </w:rPr>
        <w:t xml:space="preserve">Target admission: </w:t>
      </w:r>
      <w:r>
        <w:rPr>
          <w:rFonts w:ascii="Calibri" w:hAnsi="Calibri"/>
          <w:b w:val="0"/>
          <w:i w:val="0"/>
          <w:color w:val="667085"/>
          <w:sz w:val="19"/>
        </w:rPr>
        <w:t>Whitford knew the protected rights and safeguards, disregarded obvious accuracy problems and policy steps, and observed the foreseeable personal impact of the PIP and termination.</w:t>
      </w:r>
    </w:p>
    <w:p>
      <w:pPr>
        <w:pStyle w:val="StrategyNote"/>
        <w:keepLines/>
      </w:pPr>
      <w:r>
        <w:rPr>
          <w:rFonts w:ascii="Calibri" w:hAnsi="Calibri"/>
          <w:b/>
          <w:i w:val="0"/>
          <w:color w:val="1F4D78"/>
          <w:sz w:val="19"/>
        </w:rPr>
        <w:t xml:space="preserve">Documents: </w:t>
      </w:r>
      <w:r>
        <w:rPr>
          <w:rFonts w:ascii="Calibri" w:hAnsi="Calibri"/>
          <w:b w:val="0"/>
          <w:i w:val="0"/>
          <w:color w:val="667085"/>
          <w:sz w:val="19"/>
        </w:rPr>
        <w:t>Ex. 9 policy/training; Ex. 8 protest notation; Ex. 10 termination letter; Ex. 1 complaint email.</w:t>
      </w:r>
    </w:p>
    <w:p>
      <w:pPr>
        <w:pStyle w:val="StrategyNote"/>
        <w:keepLines/>
      </w:pPr>
      <w:r>
        <w:rPr>
          <w:rFonts w:ascii="Calibri" w:hAnsi="Calibri"/>
          <w:b/>
          <w:i w:val="0"/>
          <w:color w:val="1F4D78"/>
          <w:sz w:val="19"/>
        </w:rPr>
        <w:t xml:space="preserve">Sequence: </w:t>
      </w:r>
      <w:r>
        <w:rPr>
          <w:rFonts w:ascii="Calibri" w:hAnsi="Calibri"/>
          <w:b w:val="0"/>
          <w:i/>
          <w:color w:val="667085"/>
          <w:sz w:val="19"/>
        </w:rPr>
        <w:t>Build facts, not labels. Ask about knowledge, conscious choices, warnings, and observations. Preserve compensatory-damages testimony without inviting speculation about diagnosis.</w:t>
      </w:r>
    </w:p>
    <w:p>
      <w:pPr>
        <w:numPr>
          <w:ilvl w:val="0"/>
          <w:numId w:val="10"/>
        </w:numPr>
        <w:pStyle w:val="Question"/>
        <w:keepLines/>
      </w:pPr>
      <w:r>
        <w:rPr>
          <w:rFonts w:ascii="Calibri" w:hAnsi="Calibri"/>
          <w:b/>
          <w:i w:val="0"/>
          <w:color w:val="1F4D78"/>
          <w:sz w:val="19"/>
        </w:rPr>
        <w:t xml:space="preserve">[PUNITIVE] </w:t>
      </w:r>
      <w:r>
        <w:rPr>
          <w:rFonts w:ascii="Calibri" w:hAnsi="Calibri"/>
          <w:b w:val="0"/>
          <w:i w:val="0"/>
          <w:sz w:val="21"/>
        </w:rPr>
        <w:t>You knew national-origin discrimination and retaliation violated federal law and bank policy, correct?</w:t>
      </w:r>
    </w:p>
    <w:p>
      <w:pPr>
        <w:numPr>
          <w:ilvl w:val="0"/>
          <w:numId w:val="10"/>
        </w:numPr>
        <w:pStyle w:val="Question"/>
        <w:keepLines/>
      </w:pPr>
      <w:r>
        <w:rPr>
          <w:rFonts w:ascii="Calibri" w:hAnsi="Calibri"/>
          <w:b/>
          <w:i w:val="0"/>
          <w:color w:val="1F4D78"/>
          <w:sz w:val="19"/>
        </w:rPr>
        <w:t xml:space="preserve">[PUNITIVE] </w:t>
      </w:r>
      <w:r>
        <w:rPr>
          <w:rFonts w:ascii="Calibri" w:hAnsi="Calibri"/>
          <w:b w:val="0"/>
          <w:i w:val="0"/>
          <w:sz w:val="21"/>
        </w:rPr>
        <w:t>You knew Delgado-Reyes had invoked those protected rights on January 8, correct?</w:t>
      </w:r>
    </w:p>
    <w:p>
      <w:pPr>
        <w:numPr>
          <w:ilvl w:val="0"/>
          <w:numId w:val="10"/>
        </w:numPr>
        <w:pStyle w:val="Question"/>
        <w:keepLines/>
      </w:pPr>
      <w:r>
        <w:rPr>
          <w:rFonts w:ascii="Calibri" w:hAnsi="Calibri"/>
          <w:b/>
          <w:i w:val="0"/>
          <w:color w:val="1F4D78"/>
          <w:sz w:val="19"/>
        </w:rPr>
        <w:t xml:space="preserve">[PUNITIVE] </w:t>
      </w:r>
      <w:r>
        <w:rPr>
          <w:rFonts w:ascii="Calibri" w:hAnsi="Calibri"/>
          <w:b w:val="0"/>
          <w:i w:val="0"/>
          <w:sz w:val="21"/>
        </w:rPr>
        <w:t>You knew Cho warned that the process had to be clean and the bank had to be protected, correct?</w:t>
      </w:r>
    </w:p>
    <w:p>
      <w:pPr>
        <w:numPr>
          <w:ilvl w:val="0"/>
          <w:numId w:val="10"/>
        </w:numPr>
        <w:pStyle w:val="Question"/>
        <w:keepLines/>
      </w:pPr>
      <w:r>
        <w:rPr>
          <w:rFonts w:ascii="Calibri" w:hAnsi="Calibri"/>
          <w:b/>
          <w:i w:val="0"/>
          <w:color w:val="1F4D78"/>
          <w:sz w:val="19"/>
        </w:rPr>
        <w:t xml:space="preserve">[PUNITIVE] </w:t>
      </w:r>
      <w:r>
        <w:rPr>
          <w:rFonts w:ascii="Calibri" w:hAnsi="Calibri"/>
          <w:b w:val="0"/>
          <w:i w:val="0"/>
          <w:sz w:val="21"/>
        </w:rPr>
        <w:t>You nevertheless used unverified or contradicted report-timeliness assertions in the PIP, correct?</w:t>
      </w:r>
    </w:p>
    <w:p>
      <w:pPr>
        <w:numPr>
          <w:ilvl w:val="0"/>
          <w:numId w:val="10"/>
        </w:numPr>
        <w:pStyle w:val="Question"/>
        <w:keepLines/>
      </w:pPr>
      <w:r>
        <w:rPr>
          <w:rFonts w:ascii="Calibri" w:hAnsi="Calibri"/>
          <w:b/>
          <w:i w:val="0"/>
          <w:color w:val="1F4D78"/>
          <w:sz w:val="19"/>
        </w:rPr>
        <w:t xml:space="preserve">[PUNITIVE] </w:t>
      </w:r>
      <w:r>
        <w:rPr>
          <w:rFonts w:ascii="Calibri" w:hAnsi="Calibri"/>
          <w:b w:val="0"/>
          <w:i w:val="0"/>
          <w:sz w:val="21"/>
        </w:rPr>
        <w:t>You proceeded without identifying joint written CHRO/GC approval, correct?</w:t>
      </w:r>
    </w:p>
    <w:p>
      <w:pPr>
        <w:numPr>
          <w:ilvl w:val="0"/>
          <w:numId w:val="10"/>
        </w:numPr>
        <w:pStyle w:val="Question"/>
        <w:keepLines/>
      </w:pPr>
      <w:r>
        <w:rPr>
          <w:rFonts w:ascii="Calibri" w:hAnsi="Calibri"/>
          <w:b/>
          <w:i w:val="0"/>
          <w:color w:val="1F4D78"/>
          <w:sz w:val="19"/>
        </w:rPr>
        <w:t xml:space="preserve">[PUNITIVE] </w:t>
      </w:r>
      <w:r>
        <w:rPr>
          <w:rFonts w:ascii="Calibri" w:hAnsi="Calibri"/>
          <w:b w:val="0"/>
          <w:i w:val="0"/>
          <w:sz w:val="21"/>
        </w:rPr>
        <w:t>You terminated her before the promised PIP period ended, correct?</w:t>
      </w:r>
    </w:p>
    <w:p>
      <w:pPr>
        <w:numPr>
          <w:ilvl w:val="0"/>
          <w:numId w:val="10"/>
        </w:numPr>
        <w:pStyle w:val="Question"/>
        <w:keepLines/>
      </w:pPr>
      <w:r>
        <w:rPr>
          <w:rFonts w:ascii="Calibri" w:hAnsi="Calibri"/>
          <w:b/>
          <w:i w:val="0"/>
          <w:color w:val="1F4D78"/>
          <w:sz w:val="19"/>
        </w:rPr>
        <w:t xml:space="preserve">[PUNITIVE] </w:t>
      </w:r>
      <w:r>
        <w:rPr>
          <w:rFonts w:ascii="Calibri" w:hAnsi="Calibri"/>
          <w:b w:val="0"/>
          <w:i w:val="0"/>
          <w:sz w:val="21"/>
        </w:rPr>
        <w:t>You had already been counseled in 2017 and again in January and February 2024 about culturally sensitive language, correct?</w:t>
      </w:r>
    </w:p>
    <w:p>
      <w:pPr>
        <w:numPr>
          <w:ilvl w:val="0"/>
          <w:numId w:val="10"/>
        </w:numPr>
        <w:pStyle w:val="Question"/>
        <w:keepLines/>
      </w:pPr>
      <w:r>
        <w:rPr>
          <w:rFonts w:ascii="Calibri" w:hAnsi="Calibri"/>
          <w:b/>
          <w:i w:val="0"/>
          <w:color w:val="1F4D78"/>
          <w:sz w:val="19"/>
        </w:rPr>
        <w:t xml:space="preserve">[OPEN] </w:t>
      </w:r>
      <w:r>
        <w:rPr>
          <w:rFonts w:ascii="Calibri" w:hAnsi="Calibri"/>
          <w:b w:val="0"/>
          <w:i w:val="0"/>
          <w:sz w:val="21"/>
        </w:rPr>
        <w:t>Describe Delgado-Reyes's demeanor and reaction when you presented the February 5 review.</w:t>
      </w:r>
    </w:p>
    <w:p>
      <w:pPr>
        <w:numPr>
          <w:ilvl w:val="0"/>
          <w:numId w:val="10"/>
        </w:numPr>
        <w:pStyle w:val="Question"/>
        <w:keepLines/>
      </w:pPr>
      <w:r>
        <w:rPr>
          <w:rFonts w:ascii="Calibri" w:hAnsi="Calibri"/>
          <w:b/>
          <w:i w:val="0"/>
          <w:color w:val="1F4D78"/>
          <w:sz w:val="19"/>
        </w:rPr>
        <w:t xml:space="preserve">[OPEN] </w:t>
      </w:r>
      <w:r>
        <w:rPr>
          <w:rFonts w:ascii="Calibri" w:hAnsi="Calibri"/>
          <w:b w:val="0"/>
          <w:i w:val="0"/>
          <w:sz w:val="21"/>
        </w:rPr>
        <w:t>Describe her reaction when you presented the February 20 PIP and she signed under protest.</w:t>
      </w:r>
    </w:p>
    <w:p>
      <w:pPr>
        <w:numPr>
          <w:ilvl w:val="0"/>
          <w:numId w:val="10"/>
        </w:numPr>
        <w:pStyle w:val="Question"/>
        <w:keepLines/>
      </w:pPr>
      <w:r>
        <w:rPr>
          <w:rFonts w:ascii="Calibri" w:hAnsi="Calibri"/>
          <w:b/>
          <w:i w:val="0"/>
          <w:color w:val="1F4D78"/>
          <w:sz w:val="19"/>
        </w:rPr>
        <w:t xml:space="preserve">[OPEN] </w:t>
      </w:r>
      <w:r>
        <w:rPr>
          <w:rFonts w:ascii="Calibri" w:hAnsi="Calibri"/>
          <w:b w:val="0"/>
          <w:i w:val="0"/>
          <w:sz w:val="21"/>
        </w:rPr>
        <w:t>Describe her reaction during the March 14 termination meeting.</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Did she express shock, humiliation, anxiety, fear for her career, or disagreement with the stated grounds? State her words.</w:t>
      </w:r>
    </w:p>
    <w:p>
      <w:pPr>
        <w:numPr>
          <w:ilvl w:val="0"/>
          <w:numId w:val="10"/>
        </w:numPr>
        <w:pStyle w:val="Question"/>
        <w:keepLines/>
      </w:pPr>
      <w:r>
        <w:rPr>
          <w:rFonts w:ascii="Calibri" w:hAnsi="Calibri"/>
          <w:b/>
          <w:i w:val="0"/>
          <w:color w:val="1F4D78"/>
          <w:sz w:val="19"/>
        </w:rPr>
        <w:t xml:space="preserve">[LOCK-IN] </w:t>
      </w:r>
      <w:r>
        <w:rPr>
          <w:rFonts w:ascii="Calibri" w:hAnsi="Calibri"/>
          <w:b w:val="0"/>
          <w:i w:val="0"/>
          <w:sz w:val="21"/>
        </w:rPr>
        <w:t>Was she escorted from the premises in view of coworkers or staff? Who observed it?</w:t>
      </w:r>
    </w:p>
    <w:p>
      <w:pPr>
        <w:numPr>
          <w:ilvl w:val="0"/>
          <w:numId w:val="10"/>
        </w:numPr>
        <w:pStyle w:val="Question"/>
        <w:keepLines/>
      </w:pPr>
      <w:r>
        <w:rPr>
          <w:rFonts w:ascii="Calibri" w:hAnsi="Calibri"/>
          <w:b/>
          <w:i w:val="0"/>
          <w:color w:val="1F4D78"/>
          <w:sz w:val="19"/>
        </w:rPr>
        <w:t xml:space="preserve">[OPEN] </w:t>
      </w:r>
      <w:r>
        <w:rPr>
          <w:rFonts w:ascii="Calibri" w:hAnsi="Calibri"/>
          <w:b w:val="0"/>
          <w:i w:val="0"/>
          <w:sz w:val="21"/>
        </w:rPr>
        <w:t>Before recommending termination, what consideration did you give to the personal and professional harm of ending an eleven-year career seven days before the PIP deadline?</w:t>
      </w:r>
    </w:p>
    <w:p>
      <w:pPr>
        <w:numPr>
          <w:ilvl w:val="0"/>
          <w:numId w:val="10"/>
        </w:numPr>
        <w:pStyle w:val="Question"/>
        <w:keepLines/>
      </w:pPr>
      <w:r>
        <w:rPr>
          <w:rFonts w:ascii="Calibri" w:hAnsi="Calibri"/>
          <w:b/>
          <w:i w:val="0"/>
          <w:color w:val="1F4D78"/>
          <w:sz w:val="19"/>
        </w:rPr>
        <w:t xml:space="preserve">[CLOSE] </w:t>
      </w:r>
      <w:r>
        <w:rPr>
          <w:rFonts w:ascii="Calibri" w:hAnsi="Calibri"/>
          <w:b w:val="0"/>
          <w:i w:val="0"/>
          <w:sz w:val="21"/>
        </w:rPr>
        <w:t>Is there any testimony, document, or explanation supporting your decisions that we have not discussed? Identify it now.</w:t>
      </w:r>
    </w:p>
    <w:p>
      <w:pPr>
        <w:pStyle w:val="Heading1"/>
      </w:pPr>
      <w:r>
        <w:t>Defense explanations and prepared follow-ups</w:t>
      </w:r>
    </w:p>
    <w:p>
      <w:pPr>
        <w:pStyle w:val="StrategyNote"/>
        <w:keepLines/>
      </w:pPr>
      <w:r>
        <w:rPr>
          <w:rFonts w:ascii="Calibri" w:hAnsi="Calibri"/>
          <w:b/>
          <w:i w:val="0"/>
          <w:color w:val="1F4D78"/>
          <w:sz w:val="19"/>
        </w:rPr>
        <w:t xml:space="preserve">'Business observations, not bias.' </w:t>
      </w:r>
      <w:r>
        <w:rPr>
          <w:rFonts w:ascii="Calibri" w:hAnsi="Calibri"/>
          <w:b w:val="0"/>
          <w:i w:val="0"/>
          <w:color w:val="667085"/>
          <w:sz w:val="19"/>
        </w:rPr>
        <w:t>Lock exact words and affected communities; compare 'border communities/credit culture' with 'reservation risk'; establish the 2017 and 2024 counseling; ask why identity-linked words were necessary to express objective credit risk.</w:t>
      </w:r>
    </w:p>
    <w:p>
      <w:pPr>
        <w:pStyle w:val="StrategyNote"/>
        <w:keepLines/>
      </w:pPr>
      <w:r>
        <w:rPr>
          <w:rFonts w:ascii="Calibri" w:hAnsi="Calibri"/>
          <w:b/>
          <w:i w:val="0"/>
          <w:color w:val="1F4D78"/>
          <w:sz w:val="19"/>
        </w:rPr>
        <w:t xml:space="preserve">'The performance issues were genuine.' </w:t>
      </w:r>
      <w:r>
        <w:rPr>
          <w:rFonts w:ascii="Calibri" w:hAnsi="Calibri"/>
          <w:b w:val="0"/>
          <w:i w:val="0"/>
          <w:color w:val="667085"/>
          <w:sz w:val="19"/>
        </w:rPr>
        <w:t>Use Exs. 4-6 to show the on-time Q4 submission, Q3 extension, better-than-average results, and worse white comparators. Require the contemporaneous source for every asserted distinction.</w:t>
      </w:r>
    </w:p>
    <w:p>
      <w:pPr>
        <w:pStyle w:val="StrategyNote"/>
        <w:keepLines/>
      </w:pPr>
      <w:r>
        <w:rPr>
          <w:rFonts w:ascii="Calibri" w:hAnsi="Calibri"/>
          <w:b/>
          <w:i w:val="0"/>
          <w:color w:val="1F4D78"/>
          <w:sz w:val="19"/>
        </w:rPr>
        <w:t xml:space="preserve">'The PIP allowed at-will termination.' </w:t>
      </w:r>
      <w:r>
        <w:rPr>
          <w:rFonts w:ascii="Calibri" w:hAnsi="Calibri"/>
          <w:b w:val="0"/>
          <w:i w:val="0"/>
          <w:color w:val="667085"/>
          <w:sz w:val="19"/>
        </w:rPr>
        <w:t>Separate contractual reservation from the bank's stated 30-day meaningful opportunity, March 21 objectives, lack of mid-PIP warning, and prejudice caused by removing the last seven days.</w:t>
      </w:r>
    </w:p>
    <w:p>
      <w:pPr>
        <w:pStyle w:val="StrategyNote"/>
        <w:keepLines/>
      </w:pPr>
      <w:r>
        <w:rPr>
          <w:rFonts w:ascii="Calibri" w:hAnsi="Calibri"/>
          <w:b/>
          <w:i w:val="0"/>
          <w:color w:val="1F4D78"/>
          <w:sz w:val="19"/>
        </w:rPr>
        <w:t xml:space="preserve">'Cho and HR approved independently.' </w:t>
      </w:r>
      <w:r>
        <w:rPr>
          <w:rFonts w:ascii="Calibri" w:hAnsi="Calibri"/>
          <w:b w:val="0"/>
          <w:i w:val="0"/>
          <w:color w:val="667085"/>
          <w:sz w:val="19"/>
        </w:rPr>
        <w:t>Demand the actual CHRO/GC joint written approvals and records of independent verification. Distinguish ordinary HR signoff from Section 7.4. Ask whether Cho reviewed the email timestamp, outage ticket, comparators, or division averages.</w:t>
      </w:r>
    </w:p>
    <w:p>
      <w:pPr>
        <w:pStyle w:val="Heading1"/>
      </w:pPr>
      <w:r>
        <w:t>Closing preservation checklist</w:t>
      </w:r>
    </w:p>
    <w:p>
      <w:pPr>
        <w:pStyle w:val="Question"/>
        <w:keepLines/>
      </w:pPr>
      <w:r>
        <w:rPr>
          <w:rFonts w:ascii="Calibri" w:hAnsi="Calibri"/>
          <w:b w:val="0"/>
          <w:i w:val="0"/>
          <w:sz w:val="21"/>
        </w:rPr>
        <w:t>Identify all drafts, metadata, texts, emails, notes, calendars, and oral communications concerning the review, PIP, and termination.</w:t>
      </w:r>
    </w:p>
    <w:p>
      <w:pPr>
        <w:pStyle w:val="Question"/>
        <w:keepLines/>
      </w:pPr>
      <w:r>
        <w:rPr>
          <w:rFonts w:ascii="Calibri" w:hAnsi="Calibri"/>
          <w:b w:val="0"/>
          <w:i w:val="0"/>
          <w:sz w:val="21"/>
        </w:rPr>
        <w:t>Identify the custodians and locations of CHRO/GC approvals, Section 7.4 memoranda, comparator analyses, training acknowledgments, and post-complaint decision files.</w:t>
      </w:r>
    </w:p>
    <w:p>
      <w:pPr>
        <w:pStyle w:val="Question"/>
        <w:keepLines/>
      </w:pPr>
      <w:r>
        <w:rPr>
          <w:rFonts w:ascii="Calibri" w:hAnsi="Calibri"/>
          <w:b w:val="0"/>
          <w:i w:val="0"/>
          <w:sz w:val="21"/>
        </w:rPr>
        <w:t>Identify every person with knowledge of the November 15, December 7, and December 20 comments and every person present for the PIP or termination meetings.</w:t>
      </w:r>
    </w:p>
    <w:p>
      <w:pPr>
        <w:pStyle w:val="Question"/>
        <w:keepLines/>
      </w:pPr>
      <w:r>
        <w:rPr>
          <w:rFonts w:ascii="Calibri" w:hAnsi="Calibri"/>
          <w:b w:val="0"/>
          <w:i w:val="0"/>
          <w:sz w:val="21"/>
        </w:rPr>
        <w:t>Confirm all reasons have been stated; reserve the right to reopen if later-produced records reveal a new reason, approval, comparator, or communication.</w:t>
      </w:r>
    </w:p>
    <w:p>
      <w:pPr>
        <w:spacing w:before="200" w:after="0"/>
      </w:pPr>
      <w:r>
        <w:rPr>
          <w:rFonts w:ascii="Calibri" w:hAnsi="Calibri"/>
          <w:b/>
          <w:i w:val="0"/>
          <w:color w:val="1F4D78"/>
          <w:sz w:val="19"/>
        </w:rPr>
        <w:t xml:space="preserve">Record boundary. </w:t>
      </w:r>
      <w:r>
        <w:rPr>
          <w:rFonts w:ascii="Calibri" w:hAnsi="Calibri"/>
          <w:b w:val="0"/>
          <w:i/>
          <w:color w:val="667085"/>
          <w:sz w:val="19"/>
        </w:rPr>
        <w:t>Prepared solely from the 12 benchmark files. Verify governing evidentiary law, deposition rules, privilege boundaries, and final exhibit numbering before use.</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7085"/>
        <w:sz w:val="16"/>
      </w:rPr>
      <w:t xml:space="preserve">Delgado-Reyes v. Ridgeline National Bank | Thomas Whitford |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7085"/>
        <w:sz w:val="16"/>
      </w:rPr>
      <w:t xml:space="preserve">Delgado-Reyes v. Ridgeline National Bank | Thomas Whitford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7085"/>
        <w:sz w:val="16"/>
      </w:rPr>
      <w:t>CONFIDENTIAL | ATTORNEY WORK PRODUCT | DEPOSITION PREPARATION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7085"/>
        <w:sz w:val="16"/>
      </w:rPr>
      <w:t>CONFIDENTIAL | ATTORNEY WORK PRODUCT | DEPOSITION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80" w:line="276"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11827"/>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spacing w:after="80" w:line="276" w:lineRule="auto"/>
    </w:pPr>
    <w:rPr>
      <w:rFonts w:ascii="Calibri" w:hAnsi="Calibri"/>
      <w:color w:val="111827"/>
      <w:sz w:val="21"/>
    </w:rPr>
  </w:style>
  <w:style w:type="paragraph" w:customStyle="1" w:styleId="StrategyNote">
    <w:name w:val="Strategy Note"/>
    <w:pPr>
      <w:spacing w:after="60" w:line="240" w:lineRule="auto"/>
    </w:pPr>
    <w:rPr>
      <w:rFonts w:ascii="Calibri" w:hAnsi="Calibri"/>
      <w:color w:val="66708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