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 Kickoff &amp; Next Steps</w:t>
      </w:r>
    </w:p>
    <w:p>
      <w:pPr>
        <w:pStyle w:val="Subtitle"/>
      </w:pPr>
      <w:r>
        <w:t xml:space="preserve">GroundsTruth DMS · starting from the Jaypee June-2026 workbook · internal</w:t>
      </w:r>
    </w:p>
    <w:p>
      <w:pPr>
        <w:spacing w:after="200" w:line="276"/>
      </w:pPr>
      <w:r>
        <w:rPr>
          <w:b/>
          <w:bCs/>
          <w:color w:val="C8102E"/>
        </w:rPr>
        <w:t xml:space="preserve">Decision: start the data-true core now, ask six questions in parallel. </w:t>
      </w:r>
      <w:r>
        <w:t xml:space="preserve">The Jaypee workbook is a real operational export — it confirms the SKU list, the sales schema, the route/van model and how stock-vs-sales is reconciled. That is enough to begin the inventory–sales–reconciliation engine immediately. It does NOT contain invoicing/tax, retailer, or batch/expiry data, so those parts wait on short answers. Nothing about the build needs to be fully blocked.</w:t>
      </w:r>
    </w:p>
    <w:p>
      <w:pPr>
        <w:pStyle w:val="Heading1"/>
      </w:pPr>
      <w:r>
        <w:t xml:space="preserve">1. What we now have (seed assets)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seed_skus.csv / seed_skus.sql </w:t>
      </w:r>
      <w:r>
        <w:t xml:space="preserve">— 52 SKUs (CSD Cola/Orange/Lemon across 200ml–2L, Campa 2.25L, Water, Gold Boost Energy, Energy Berry Kick, Rasiki, Soda) with rate-per-case where known. MRP / HSN / tax-slab left as explicit TODO columns.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seed_sales_sample.csv </w:t>
      </w:r>
      <w:r>
        <w:t xml:space="preserve">— real sales lines in the source schema: timestamp, date, route_id, article_name, qty_sold, rate, line_total, data_source (WHATSAPP_API), order_id.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Confirmed operating model </w:t>
      </w:r>
      <w:r>
        <w:t xml:space="preserve">— WhatsApp-API-driven sales, organised by routes/vans (Route-1…Route-7, six vans + warehouse), daily van load-out and a manual stock↔sales reconciliation we are automating.</w:t>
      </w:r>
    </w:p>
    <w:p>
      <w:pPr>
        <w:pStyle w:val="Heading1"/>
      </w:pPr>
      <w:r>
        <w:t xml:space="preserve">2. Start NOW (workbook de-risks these)</w:t>
      </w:r>
    </w:p>
    <w:p>
      <w:pPr>
        <w:spacing w:after="120" w:line="276"/>
      </w:pPr>
      <w:r>
        <w:t xml:space="preserve">These map to tracker steps P12–P17 and the M0–M2 / M5 blocks. We are not guessing on any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Backed by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+ Next.js app, Supabase project, repo + CI, dev/staging envs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 decided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+ migrations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skus, inventory, van_loads, van_load_lines, sales/order_lines, audit_log + 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schema confirmed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SKU master seed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the 52 SKUs from seed_skus.sql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seed_skus.csv/sql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+ inward stock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on hand, daily inward, low-stock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MASTER_INVENTORY sheet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Van load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Per-van per-article load-out + returns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VAN_PERFORMANCE sheet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ingestion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Order/sales lines in the confirmed grain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API_RAW_DUMP schema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Reconciliation 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out − sold − returned → variance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SALES_VS_STOCK sheet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+ RLS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login, roles, row-level 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done</w:t>
            </w:r>
          </w:p>
        </w:tc>
      </w:tr>
    </w:tbl>
    <w:p>
      <w:pPr>
        <w:pStyle w:val="Heading1"/>
      </w:pPr>
      <w:r>
        <w:t xml:space="preserve">3. HOLD until the six answers (don’t build twice)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Blocked by question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+ challan generation, tax compute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Q1 — GST/HSN/cess per SKU, invoice format + numbering, CA sign-off (or confirmation they don’t invoice).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Retailer onboarding + retailer ledger/credit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Q2 — do they track individual retailers, or route-only? (Workbook has NO retailer entity.)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Batch/expiry + FIFO, MRP 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Q3 — do they track batch/expiry, or only qty on hand? MRP per SKU?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Order-capture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Q4/Q5 — confirm van pre-sell; are we replacing the WhatsApp flow or ingesting from it?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discounting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Q6 — discount ceiling + whether schemes exist.</w:t>
            </w:r>
          </w:p>
        </w:tc>
      </w:tr>
    </w:tbl>
    <w:p>
      <w:pPr>
        <w:pStyle w:val="Heading1"/>
      </w:pPr>
      <w:r>
        <w:t xml:space="preserve">4. The six bare-minimum questions (one short call)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Invoicing &amp; tax — do they issue invoices? If yes: GST/HSN/cess per SKU, format, numbering, CA sign-off. (Biggest unknown.)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Retailers — individual shops as entities, or route-only? Decides whether onboarding/ledger tables get built or descoped.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Inventory — batch/expiry tracked (FIFO) or just on-hand? MRP per SKU?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Sales model — confirm WhatsApp-driven van pre-sell.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WhatsApp-API source — are we replacing it or feeding off it? Affects the whole order-capture design.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Discount ceiling + any buy-X-get-Y schemes (engine is later, but manual discounting needs the boundary).</w:t>
      </w:r>
    </w:p>
    <w:p>
      <w:pPr>
        <w:spacing w:after="120" w:line="276"/>
      </w:pPr>
      <w:r>
        <w:rPr>
          <w:b/>
          <w:bCs/>
          <w:color w:val="C8102E"/>
        </w:rPr>
        <w:t xml:space="preserve">One-line confirmation also needed: </w:t>
      </w:r>
      <w:r>
        <w:t xml:space="preserve">the workbook is labelled “Jaypee Advertisers” — confirm this is the actual contracted client’s real data and SKU set, not a sample from elsewhere, before we seed from it.</w:t>
      </w:r>
    </w:p>
    <w:p>
      <w:pPr>
        <w:pStyle w:val="Heading1"/>
      </w:pPr>
      <w:r>
        <w:t xml:space="preserve">5. Sequence for the next two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1–2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+ Supabase project; repo, CI, dev/staging; load seed_skus.sql; stand up auth (OTP) + roles + RLS skeleton.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2–3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the six questions to client (Aman fronts). In parallel: build inventory + inward stock + low-stock.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3–5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Van load model + returns; sales ingestion in the confirmed grain; wire audit logging on every mutation.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5–7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Reconciliation core (variance flag) — the anti-leakage spine — modelled on SALES_VS_STOCK. Owner dashboard skeleton.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On answers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Unblock invoicing/tax, retailer, batch/expiry. Build invoice + challan to the signed-off format; decide retailer scope.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Collection + dashboard → QA against acceptance criteria → pilot with 2–3 users → Phase-1 go-live.</w:t>
            </w:r>
          </w:p>
        </w:tc>
      </w:tr>
    </w:tbl>
    <w:p>
      <w:pPr>
        <w:pStyle w:val="Heading1"/>
      </w:pPr>
      <w:r>
        <w:t xml:space="preserve">6. Guardrails while starting early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the invoice/tax and retailer modules behind clean seams so adding them later doesn’t disturb the 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Treat the seed data as a starting point, not gospel — re-import the client’s authoritative master once confirmed.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Reconciliation + audit logging from day one (the liability hotspot); never invoice without atomic stock deduct.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Don’t hardcode tax/numbering/discount/tolerance — config from the start, since these arrive from the client late.</w:t>
      </w:r>
    </w:p>
    <w:p>
      <w:pPr>
        <w:spacing w:after="120" w:line="276"/>
      </w:pPr>
      <w:r>
        <w:rPr>
          <w:b/>
          <w:bCs/>
          <w:color w:val="C8102E"/>
        </w:rPr>
        <w:t xml:space="preserve">Net: </w:t>
      </w:r>
      <w:r>
        <w:t xml:space="preserve">you can start roughly half the MVP today on solid ground, and the half you can’t is unblocked by a single 30-minute call — faster than waiting for full requirement-gathering, and without building anything twice.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5A5F6A"/>
        <w:sz w:val="16"/>
        <w:szCs w:val="16"/>
      </w:rPr>
      <w:t xml:space="preserve">Private &amp; Confidential</w:t>
    </w:r>
    <w:r>
      <w:rPr>
        <w:color w:val="5A5F6A"/>
        <w:sz w:val="16"/>
        <w:szCs w:val="16"/>
      </w:rPr>
      <w:t xml:space="preserve">	Page </w:t>
    </w:r>
    <w:r>
      <w:rPr>
        <w:color w:val="5A5F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F6A"/>
        <w:sz w:val="16"/>
        <w:szCs w:val="16"/>
      </w:rPr>
      <w:t xml:space="preserve"> of </w:t>
    </w:r>
    <w:r>
      <w:rPr>
        <w:color w:val="5A5F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60"/>
    </w:pPr>
    <w:r>
      <w:rPr>
        <w:b/>
        <w:bCs/>
        <w:color w:val="1F2A44"/>
        <w:sz w:val="18"/>
        <w:szCs w:val="18"/>
      </w:rPr>
      <w:t xml:space="preserve">GroundsTruth</w:t>
    </w:r>
    <w:r>
      <w:rPr>
        <w:color w:val="5A5F6A"/>
        <w:sz w:val="16"/>
        <w:szCs w:val="16"/>
      </w:rPr>
      <w:t xml:space="preserve">   ·   Build Kickoff &amp; Next Steps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Subtitle">
    <w:name w:val="Subtitle"/>
    <w:basedOn w:val="Normal"/>
    <w:next w:val="Normal"/>
    <w:pPr>
      <w:spacing w:after="280" w:before="0"/>
    </w:pPr>
    <w:rPr>
      <w:rFonts w:ascii="Calibri" w:cs="Calibri" w:eastAsia="Calibri" w:hAnsi="Calibri"/>
      <w:i/>
      <w:iCs/>
      <w:color w:val="5A5F6A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C8102E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A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A5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2026-06-18T12:05:42.963Z</dcterms:created>
  <dcterms:modified xsi:type="dcterms:W3CDTF">2026-06-18T12:05:42.977Z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