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eyebrow"/>
        <w:bidi w:val="0"/>
        <w:jc w:val="left"/>
        <w:rPr/>
      </w:pPr>
      <w:r>
        <w:rPr/>
        <w:t>GROUNDWORK BY JALLA  ·  21 AUGUST 2026</w:t>
      </w:r>
    </w:p>
    <w:p>
      <w:pPr>
        <w:pStyle w:val="Heading1"/>
        <w:bidi w:val="0"/>
        <w:jc w:val="left"/>
        <w:rPr/>
      </w:pPr>
      <w:r>
        <w:rPr/>
        <w:t>Getting Groundwork into Go High Level</w:t>
      </w:r>
    </w:p>
    <w:p>
      <w:pPr>
        <w:pStyle w:val="BodyText"/>
        <w:bidi w:val="0"/>
        <w:jc w:val="left"/>
        <w:rPr/>
      </w:pPr>
      <w:r>
        <w:rPr/>
        <w:t>Requested at the 20 August meeting: a plan and a time estimate for giving the team contact visibility over both contractors and users.</w:t>
      </w:r>
    </w:p>
    <w:p>
      <w:pPr>
        <w:pStyle w:val="BodyText"/>
        <w:bidi w:val="0"/>
        <w:jc w:val="left"/>
        <w:rPr/>
      </w:pPr>
      <w:r>
        <w:rPr/>
        <w:t>Two phases. The first buys visibility quickly using what is already built. The second is the real integration, and it is what unlocks anything involving pipelines, tags or two-way conversation.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What is connected today is less than it looks</w:t>
      </w:r>
    </w:p>
    <w:p>
      <w:pPr>
        <w:pStyle w:val="BodyText"/>
        <w:bidi w:val="0"/>
        <w:jc w:val="left"/>
        <w:rPr/>
      </w:pPr>
      <w:r>
        <w:rPr/>
        <w:t>Groundwork does not use the Go High Level API. It posts a message into a single webhook whenever a contractor applies — and that is the whole integration.</w:t>
      </w:r>
    </w:p>
    <w:p>
      <w:pPr>
        <w:pStyle w:val="BodyText"/>
        <w:bidi w:val="0"/>
        <w:jc w:val="left"/>
        <w:rPr/>
      </w:pPr>
      <w:r>
        <w:rPr>
          <w:b/>
        </w:rPr>
        <w:t>Contractors only.</w:t>
      </w:r>
      <w:r>
        <w:rPr/>
        <w:t xml:space="preserve"> Not one homeowner or client has ever reached the CRM. That is the gap you described in the meeting, and it is total rather than partial.</w:t>
      </w:r>
    </w:p>
    <w:p>
      <w:pPr>
        <w:pStyle w:val="BodyText"/>
        <w:bidi w:val="0"/>
        <w:jc w:val="left"/>
        <w:rPr/>
      </w:pPr>
      <w:r>
        <w:rPr>
          <w:b/>
        </w:rPr>
        <w:t>Nothing can be changed after it is sent.</w:t>
      </w:r>
      <w:r>
        <w:rPr/>
        <w:t xml:space="preserve"> We never record the CRM's own id for a contact, so we cannot go back and update one, tag it, or move it along a pipeline. Every message is fire-and-forget. This is the single fact that makes Phase 2 necessary rather than optional — no amount of extra webhooks gets around it.</w:t>
      </w:r>
    </w:p>
    <w:p>
      <w:pPr>
        <w:pStyle w:val="BodyText"/>
        <w:bidi w:val="0"/>
        <w:jc w:val="left"/>
        <w:rPr/>
      </w:pPr>
      <w:r>
        <w:rPr>
          <w:b/>
        </w:rPr>
        <w:t>Failures are invisible.</w:t>
      </w:r>
      <w:r>
        <w:rPr/>
        <w:t xml:space="preserve"> If a push fails, the error is discarded in the browser. There is no retry, no queue, and no screen anywhere that shows what did not make it through.</w:t>
      </w:r>
    </w:p>
    <w:p>
      <w:pPr>
        <w:pStyle w:val="Heading2"/>
        <w:bidi w:val="0"/>
        <w:jc w:val="left"/>
        <w:rPr/>
      </w:pPr>
      <w:r>
        <w:rPr/>
        <w:t>Phase 1 — visibility, without rebuilding anything</w:t>
      </w:r>
    </w:p>
    <w:p>
      <w:pPr>
        <w:pStyle w:val="BodyTextsmall"/>
        <w:bidi w:val="0"/>
        <w:jc w:val="left"/>
        <w:rPr/>
      </w:pPr>
      <w:r>
        <w:rPr/>
        <w:t>Each of these copies the pattern that already works for contractor applications. No new plumbing, no database changes, nothing that has to be undone later.</w:t>
      </w:r>
    </w:p>
    <w:tbl>
      <w:tblPr>
        <w:tblW w:w="5000" w:type="pct"/>
        <w:jc w:val="left"/>
        <w:tblInd w:w="-7" w:type="dxa"/>
        <w:tblLayout w:type="fixed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2565"/>
        <w:gridCol w:w="6314"/>
        <w:gridCol w:w="986"/>
      </w:tblGrid>
      <w:tr>
        <w:trPr/>
        <w:tc>
          <w:tcPr>
            <w:tcW w:w="2565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left"/>
              <w:rPr/>
            </w:pPr>
            <w:r>
              <w:rPr/>
              <w:t>What you get</w:t>
            </w:r>
          </w:p>
        </w:tc>
        <w:tc>
          <w:tcPr>
            <w:tcW w:w="6314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left"/>
              <w:rPr/>
            </w:pPr>
            <w:r>
              <w:rPr/>
              <w:t>Why it matters</w:t>
            </w:r>
          </w:p>
        </w:tc>
        <w:tc>
          <w:tcPr>
            <w:tcW w:w="986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Days</w:t>
            </w:r>
          </w:p>
        </w:tc>
      </w:tr>
      <w:tr>
        <w:trPr/>
        <w:tc>
          <w:tcPr>
            <w:tcW w:w="256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User &amp; homeowner contacts</w:t>
            </w:r>
          </w:p>
        </w:tc>
        <w:tc>
          <w:tcPr>
            <w:tcW w:w="631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Every person who signs up reaches the CRM with their name, email, country and language. Today none of them do — GHL only ever hears about contractors.</w:t>
            </w:r>
          </w:p>
        </w:tc>
        <w:tc>
          <w:tcPr>
            <w:tcW w:w="98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1.0</w:t>
            </w:r>
          </w:p>
        </w:tc>
      </w:tr>
      <w:tr>
        <w:trPr/>
        <w:tc>
          <w:tcPr>
            <w:tcW w:w="256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Application decisions</w:t>
            </w:r>
          </w:p>
        </w:tc>
        <w:tc>
          <w:tcPr>
            <w:tcW w:w="631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When you accept or reject a contractor, the CRM finds out. Right now it still shows them as a fresh application forever.</w:t>
            </w:r>
          </w:p>
        </w:tc>
        <w:tc>
          <w:tcPr>
            <w:tcW w:w="98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0.5</w:t>
            </w:r>
          </w:p>
        </w:tc>
      </w:tr>
      <w:tr>
        <w:trPr/>
        <w:tc>
          <w:tcPr>
            <w:tcW w:w="256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Subscription changes</w:t>
            </w:r>
          </w:p>
        </w:tc>
        <w:tc>
          <w:tcPr>
            <w:tcW w:w="631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Upgrades, cancellations and failed payments reach the CRM, so you can see who is paying without opening Stripe.</w:t>
            </w:r>
          </w:p>
        </w:tc>
        <w:tc>
          <w:tcPr>
            <w:tcW w:w="98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0.5</w:t>
            </w:r>
          </w:p>
        </w:tc>
      </w:tr>
      <w:tr>
        <w:trPr/>
        <w:tc>
          <w:tcPr>
            <w:tcW w:w="256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Project created</w:t>
            </w:r>
          </w:p>
        </w:tc>
        <w:tc>
          <w:tcPr>
            <w:tcW w:w="631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 signup who actually starts a build looks different from one who never does. This is the event that separates them.</w:t>
            </w:r>
          </w:p>
        </w:tc>
        <w:tc>
          <w:tcPr>
            <w:tcW w:w="98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0.5</w:t>
            </w:r>
          </w:p>
        </w:tc>
      </w:tr>
      <w:tr>
        <w:trPr/>
        <w:tc>
          <w:tcPr>
            <w:tcW w:w="256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Failure visibility</w:t>
            </w:r>
          </w:p>
        </w:tc>
        <w:tc>
          <w:tcPr>
            <w:tcW w:w="631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Today a CRM push can fail and nobody finds out — the browser throws the error away. Add a resend button and a count of what has not synced.</w:t>
            </w:r>
          </w:p>
        </w:tc>
        <w:tc>
          <w:tcPr>
            <w:tcW w:w="98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1.0</w:t>
            </w:r>
          </w:p>
        </w:tc>
      </w:tr>
    </w:tbl>
    <w:p>
      <w:pPr>
        <w:pStyle w:val="BodyText"/>
        <w:bidi w:val="0"/>
        <w:jc w:val="left"/>
        <w:rPr>
          <w:b/>
        </w:rPr>
      </w:pPr>
      <w:r>
        <w:rPr>
          <w:b/>
        </w:rPr>
        <w:t>Phase 1 total: 3.5 engineer-days.</w:t>
      </w:r>
    </w:p>
    <w:p>
      <w:pPr>
        <w:pStyle w:val="BodyText"/>
        <w:bidi w:val="0"/>
        <w:jc w:val="left"/>
        <w:rPr/>
      </w:pPr>
      <w:r>
        <w:rPr>
          <w:b/>
        </w:rPr>
        <w:t>Half of this is not engineering.</w:t>
      </w:r>
      <w:r>
        <w:rPr/>
        <w:t xml:space="preserve"> The code delivers contacts and events into GHL; it does not decide what happens to them. Until someone builds the receiving workflows in GHL, Phase 1 produces nothing you can see. Worth starting that in parallel rather than after.</w:t>
      </w:r>
    </w:p>
    <w:p>
      <w:pPr>
        <w:pStyle w:val="Heading2"/>
        <w:bidi w:val="0"/>
        <w:jc w:val="left"/>
        <w:rPr/>
      </w:pPr>
      <w:r>
        <w:rPr/>
        <w:t>Phase 2 — a CRM that can actually be driven</w:t>
      </w:r>
    </w:p>
    <w:p>
      <w:pPr>
        <w:pStyle w:val="BodyTextsmall"/>
        <w:bidi w:val="0"/>
        <w:jc w:val="left"/>
        <w:rPr/>
      </w:pPr>
      <w:r>
        <w:rPr/>
        <w:t>Everything here depends on the second item. Until we can address a contact by its CRM id, the rest is impossible rather than merely unbuilt.</w:t>
      </w:r>
    </w:p>
    <w:tbl>
      <w:tblPr>
        <w:tblW w:w="5000" w:type="pct"/>
        <w:jc w:val="left"/>
        <w:tblInd w:w="-7" w:type="dxa"/>
        <w:tblLayout w:type="fixed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2565"/>
        <w:gridCol w:w="6314"/>
        <w:gridCol w:w="986"/>
      </w:tblGrid>
      <w:tr>
        <w:trPr/>
        <w:tc>
          <w:tcPr>
            <w:tcW w:w="2565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left"/>
              <w:rPr/>
            </w:pPr>
            <w:r>
              <w:rPr/>
              <w:t>What you get</w:t>
            </w:r>
          </w:p>
        </w:tc>
        <w:tc>
          <w:tcPr>
            <w:tcW w:w="6314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left"/>
              <w:rPr/>
            </w:pPr>
            <w:r>
              <w:rPr/>
              <w:t>Why it matters</w:t>
            </w:r>
          </w:p>
        </w:tc>
        <w:tc>
          <w:tcPr>
            <w:tcW w:w="986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Days</w:t>
            </w:r>
          </w:p>
        </w:tc>
      </w:tr>
      <w:tr>
        <w:trPr/>
        <w:tc>
          <w:tcPr>
            <w:tcW w:w="256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Authenticated connection</w:t>
            </w:r>
          </w:p>
        </w:tc>
        <w:tc>
          <w:tcPr>
            <w:tcW w:w="631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Replace the anonymous webhook with a real, authenticated connection to GHL — a Private Integration Token, which needs no login-refresh machinery to maintain.</w:t>
            </w:r>
          </w:p>
        </w:tc>
        <w:tc>
          <w:tcPr>
            <w:tcW w:w="98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1.0</w:t>
            </w:r>
          </w:p>
        </w:tc>
      </w:tr>
      <w:tr>
        <w:trPr/>
        <w:tc>
          <w:tcPr>
            <w:tcW w:w="256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Remember who is who</w:t>
            </w:r>
          </w:p>
        </w:tc>
        <w:tc>
          <w:tcPr>
            <w:tcW w:w="631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Store the CRM’s own id for each contact. Without this nothing can ever be updated after it is created, which is the ceiling on everything below.</w:t>
            </w:r>
          </w:p>
        </w:tc>
        <w:tc>
          <w:tcPr>
            <w:tcW w:w="98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1.0</w:t>
            </w:r>
          </w:p>
        </w:tc>
      </w:tr>
      <w:tr>
        <w:trPr/>
        <w:tc>
          <w:tcPr>
            <w:tcW w:w="256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Update instead of duplicate</w:t>
            </w:r>
          </w:p>
        </w:tc>
        <w:tc>
          <w:tcPr>
            <w:tcW w:w="631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Match on email so a person who signs up, then applies, then subscribes is one contact with a history — not three.</w:t>
            </w:r>
          </w:p>
        </w:tc>
        <w:tc>
          <w:tcPr>
            <w:tcW w:w="98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1.0</w:t>
            </w:r>
          </w:p>
        </w:tc>
      </w:tr>
      <w:tr>
        <w:trPr/>
        <w:tc>
          <w:tcPr>
            <w:tcW w:w="256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Tags and pipeline stages</w:t>
            </w:r>
          </w:p>
        </w:tc>
        <w:tc>
          <w:tcPr>
            <w:tcW w:w="631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Move people through your sales pipeline automatically as they progress, instead of someone dragging cards by hand.</w:t>
            </w:r>
          </w:p>
        </w:tc>
        <w:tc>
          <w:tcPr>
            <w:tcW w:w="98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1.5</w:t>
            </w:r>
          </w:p>
        </w:tc>
      </w:tr>
      <w:tr>
        <w:trPr/>
        <w:tc>
          <w:tcPr>
            <w:tcW w:w="256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Listen back from GHL</w:t>
            </w:r>
          </w:p>
        </w:tc>
        <w:tc>
          <w:tcPr>
            <w:tcW w:w="631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Let GHL tell us things too — a booked appointment, a reply, an unsubscribe. Everything today is one-way.</w:t>
            </w:r>
          </w:p>
        </w:tc>
        <w:tc>
          <w:tcPr>
            <w:tcW w:w="98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1.5</w:t>
            </w:r>
          </w:p>
        </w:tc>
      </w:tr>
      <w:tr>
        <w:trPr/>
        <w:tc>
          <w:tcPr>
            <w:tcW w:w="256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Retry what fails</w:t>
            </w:r>
          </w:p>
        </w:tc>
        <w:tc>
          <w:tcPr>
            <w:tcW w:w="631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 CRM outage currently loses the event permanently. Queue it and try again.</w:t>
            </w:r>
          </w:p>
        </w:tc>
        <w:tc>
          <w:tcPr>
            <w:tcW w:w="98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1.0</w:t>
            </w:r>
          </w:p>
        </w:tc>
      </w:tr>
    </w:tbl>
    <w:p>
      <w:pPr>
        <w:pStyle w:val="BodyText"/>
        <w:bidi w:val="0"/>
        <w:jc w:val="left"/>
        <w:rPr>
          <w:b/>
        </w:rPr>
      </w:pPr>
      <w:r>
        <w:rPr>
          <w:b/>
        </w:rPr>
        <w:t>Phase 2 total: 7 engineer-days.</w:t>
      </w:r>
    </w:p>
    <w:p>
      <w:pPr>
        <w:pStyle w:val="Heading2"/>
        <w:bidi w:val="0"/>
        <w:jc w:val="left"/>
        <w:rPr/>
      </w:pPr>
      <w:r>
        <w:rPr/>
        <w:t>What the estimate assumes</w:t>
      </w:r>
    </w:p>
    <w:p>
      <w:pPr>
        <w:pStyle w:val="BodyText"/>
        <w:bidi w:val="0"/>
        <w:jc w:val="left"/>
        <w:rPr/>
      </w:pPr>
      <w:r>
        <w:rPr/>
        <w:t xml:space="preserve">Roughly </w:t>
      </w:r>
      <w:r>
        <w:rPr>
          <w:b/>
        </w:rPr>
        <w:t>10.5 engineer-days</w:t>
      </w:r>
      <w:r>
        <w:rPr/>
        <w:t xml:space="preserve"> in total — about three working weeks of undivided attention, and longer in practice.</w:t>
      </w:r>
    </w:p>
    <w:p>
      <w:pPr>
        <w:pStyle w:val="BodyText"/>
        <w:bidi w:val="0"/>
        <w:jc w:val="left"/>
        <w:rPr/>
      </w:pPr>
      <w:r>
        <w:rPr/>
        <w:t xml:space="preserve">These are build-and-test days for one engineer, and they assume the GHL account, its pipeline and its workflows already exist to build against. They do </w:t>
      </w:r>
      <w:r>
        <w:rPr>
          <w:b/>
        </w:rPr>
        <w:t>not</w:t>
      </w:r>
      <w:r>
        <w:rPr/>
        <w:t xml:space="preserve"> include the GHL-side configuration listed below, discovery time on the GHL API, or the admin dashboard work this competes with. As discussed, taking Phase 1 next week means the dashboard moves.</w:t>
      </w:r>
    </w:p>
    <w:p>
      <w:pPr>
        <w:pStyle w:val="BodyText"/>
        <w:bidi w:val="0"/>
        <w:jc w:val="left"/>
        <w:rPr/>
      </w:pPr>
      <w:r>
        <w:rPr/>
        <w:t xml:space="preserve">Suggested order: </w:t>
      </w:r>
      <w:r>
        <w:rPr>
          <w:b/>
        </w:rPr>
        <w:t>Phase 1 first, then stop and use it.</w:t>
      </w:r>
      <w:r>
        <w:rPr/>
        <w:t xml:space="preserve"> A month of real contacts flowing in will tell you which Phase 2 items you actually want, and that is cheaper than deciding now.</w:t>
      </w:r>
    </w:p>
    <w:p>
      <w:pPr>
        <w:pStyle w:val="Heading2"/>
        <w:bidi w:val="0"/>
        <w:jc w:val="left"/>
        <w:rPr/>
      </w:pPr>
      <w:r>
        <w:rPr/>
        <w:t>Not included — this is your side</w:t>
      </w:r>
    </w:p>
    <w:p>
      <w:pPr>
        <w:pStyle w:val="BodyTextsmall"/>
        <w:bidi w:val="0"/>
        <w:jc w:val="left"/>
        <w:rPr/>
      </w:pPr>
      <w:r>
        <w:rPr/>
        <w:t>Work that happens inside Go High Level, not in the product.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Building the workflows in GHL that decide what happens when a contact arrives.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Defining the pipeline and its stages.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Writing the email and SMS sequences the CRM will send.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Deciding who on the team owns replying to what.</w:t>
      </w:r>
    </w:p>
    <w:p>
      <w:pPr>
        <w:pStyle w:val="Heading2"/>
        <w:bidi w:val="0"/>
        <w:jc w:val="left"/>
        <w:rPr/>
      </w:pPr>
      <w:r>
        <w:rPr/>
        <w:t>Decisions needed before anyone starts</w:t>
      </w:r>
    </w:p>
    <w:p>
      <w:pPr>
        <w:pStyle w:val="BodyTextsmall"/>
        <w:bidi w:val="0"/>
        <w:jc w:val="left"/>
        <w:rPr/>
      </w:pPr>
      <w:r>
        <w:rPr/>
        <w:t>Four answers. The first two shape what gets built; the last two are approvals.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Which pipeline stages exist?</w:t>
      </w:r>
      <w:r>
        <w:rPr/>
        <w:br/>
        <w:t>Phase 2 moves people between stages automatically. We need the list you actually use in GHL before anything can be wired to it.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Which events matter commercially?</w:t>
      </w:r>
      <w:r>
        <w:rPr/>
        <w:br/>
        <w:t>The Phase 1 list is what is cheap to send. You should cut anything that will not change how someone is followed up — every event added is a workflow someone has to maintain.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The waitlist path — revive or delete?</w:t>
      </w:r>
      <w:r>
        <w:rPr/>
        <w:br/>
        <w:t>A complete waitlist signup flow, including its own CRM push and welcome email, is still deployed but unreachable since the community feature was removed. It is either revived deliberately or deleted; leaving it is the worst of the three.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Homeowner data going to a subprocessor</w:t>
      </w:r>
      <w:r>
        <w:rPr/>
        <w:br/>
        <w:t>Contractors already flow to GHL and it is disclosed in our privacy policy. Sending homeowner details is the same category, so this is a confirmation rather than a blocker — but it should be a decision, not a side effect.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BodyTextsmall"/>
        <w:bidi w:val="0"/>
        <w:spacing w:before="0" w:after="160"/>
        <w:jc w:val="left"/>
        <w:rPr/>
      </w:pPr>
      <w:r>
        <w:rPr/>
        <w:t>Estimates are the engineering half only, and assume no discovery surprises in the Go High Level API — we have not used it before, only its webhooks. Companion document: the audit of every automated email the product sends today.</w:t>
      </w:r>
    </w:p>
    <w:sectPr>
      <w:type w:val="nextPage"/>
      <w:pgSz w:w="11906" w:h="16838"/>
      <w:pgMar w:left="1020" w:right="1020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Segoe UI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;Segoe UI;Arial;sans-serif" w:hAnsi="Calibri;Segoe UI;Arial;sans-serif" w:eastAsia="Calibri;Segoe UI;Arial;sans-serif" w:cs="Calibri;Segoe UI;Arial;sans-serif"/>
      <w:color w:val="0A0A0A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200"/>
      <w:outlineLvl w:val="0"/>
    </w:pPr>
    <w:rPr>
      <w:rFonts w:ascii="Liberation Serif" w:hAnsi="Liberation Serif" w:eastAsia="Noto Serif CJK SC" w:cs="Noto Sans Devanagari"/>
      <w:b/>
      <w:bCs/>
      <w:color w:val="0A0A0A"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400" w:after="120"/>
      <w:ind w:left="400" w:right="400"/>
      <w:outlineLvl w:val="1"/>
    </w:pPr>
    <w:rPr>
      <w:rFonts w:ascii="Liberation Serif" w:hAnsi="Liberation Serif" w:eastAsia="Noto Serif CJK SC" w:cs="Noto Sans Devanagari"/>
      <w:b/>
      <w:bCs/>
      <w:color w:val="0A0A0A"/>
      <w:sz w:val="32"/>
      <w:szCs w:val="32"/>
    </w:rPr>
  </w:style>
  <w:style w:type="paragraph" w:styleId="Heading3">
    <w:name w:val="Heading 3"/>
    <w:basedOn w:val="Heading"/>
    <w:next w:val="BodyText"/>
    <w:qFormat/>
    <w:pPr>
      <w:spacing w:before="320" w:after="80"/>
      <w:ind w:left="320" w:right="320"/>
      <w:outlineLvl w:val="2"/>
    </w:pPr>
    <w:rPr>
      <w:rFonts w:ascii="Liberation Serif" w:hAnsi="Liberation Serif" w:eastAsia="Noto Serif CJK SC" w:cs="Noto Sans Devanagari"/>
      <w:b/>
      <w:bCs/>
      <w:color w:val="0A0A0A"/>
      <w:sz w:val="26"/>
      <w:szCs w:val="26"/>
    </w:rPr>
  </w:style>
  <w:style w:type="paragraph" w:styleId="Heading4">
    <w:name w:val="Heading 4"/>
    <w:basedOn w:val="Heading"/>
    <w:next w:val="BodyText"/>
    <w:qFormat/>
    <w:pPr>
      <w:spacing w:before="240" w:after="60"/>
      <w:ind w:left="240" w:right="240"/>
      <w:outlineLvl w:val="3"/>
    </w:pPr>
    <w:rPr>
      <w:rFonts w:ascii="Liberation Serif" w:hAnsi="Liberation Serif" w:eastAsia="Noto Serif CJK SC" w:cs="Noto Sans Devanagari"/>
      <w:b/>
      <w:bCs/>
      <w:color w:val="5A5A57"/>
      <w:sz w:val="22"/>
      <w:szCs w:val="22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6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eyebrow">
    <w:name w:val="Body Text.eyebrow"/>
    <w:basedOn w:val="BodyText"/>
    <w:qFormat/>
    <w:pPr>
      <w:spacing w:before="0" w:after="120"/>
    </w:pPr>
    <w:rPr>
      <w:color w:val="8A8A87"/>
      <w:spacing w:val="20"/>
      <w:sz w:val="18"/>
      <w:szCs w:val="18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odyTextsmall">
    <w:name w:val="Body Text.small"/>
    <w:basedOn w:val="BodyText"/>
    <w:qFormat/>
    <w:pPr/>
    <w:rPr>
      <w:color w:val="5A5A57"/>
      <w:sz w:val="19"/>
      <w:szCs w:val="19"/>
    </w:rPr>
  </w:style>
  <w:style w:type="paragraph" w:styleId="TableContents">
    <w:name w:val="Table Contents"/>
    <w:basedOn w:val="Normal"/>
    <w:qFormat/>
    <w:pPr>
      <w:widowControl w:val="false"/>
      <w:suppressLineNumbers/>
    </w:pPr>
    <w:rPr>
      <w:sz w:val="21"/>
      <w:szCs w:val="21"/>
    </w:rPr>
  </w:style>
  <w:style w:type="paragraph" w:styleId="TableHeading">
    <w:name w:val="Table Heading"/>
    <w:basedOn w:val="TableContents"/>
    <w:qFormat/>
    <w:pPr>
      <w:suppressLineNumbers/>
      <w:jc w:val="left"/>
    </w:pPr>
    <w:rPr>
      <w:b/>
      <w:bCs/>
      <w:color w:val="5A5A57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Groundwork — getting into Go High Level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