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11111"/>
          <w:sz w:val="48"/>
        </w:rPr>
        <w:t>Bill of Quantities — questions</w:t>
      </w:r>
    </w:p>
    <w:p>
      <w:pPr>
        <w:spacing w:after="20"/>
      </w:pPr>
      <w:r>
        <w:rPr>
          <w:b/>
          <w:color w:val="111111"/>
          <w:sz w:val="23"/>
        </w:rPr>
        <w:t>For Vanessa Gwanvoma</w:t>
      </w:r>
    </w:p>
    <w:p>
      <w:pPr>
        <w:spacing w:after="160"/>
      </w:pPr>
      <w:r>
        <w:rPr>
          <w:b w:val="0"/>
          <w:color w:val="666666"/>
          <w:sz w:val="19"/>
        </w:rPr>
        <w:t>Groundwork by Jalla   ·   9 September 2026</w:t>
      </w:r>
    </w:p>
    <w:tbl>
      <w:tblPr>
        <w:tblW w:type="auto" w:w="0"/>
        <w:jc w:val="left"/>
        <w:tblLayout w:type="fixed"/>
        <w:tblLook w:firstColumn="1" w:firstRow="1" w:lastColumn="0" w:lastRow="0" w:noHBand="0" w:noVBand="1" w:val="04A0"/>
        <w:tblLayout w:type="fixed"/>
        <w:tblBorders>
          <w:top w:val="single" w:sz="6" w:color="BBBBBB"/>
          <w:left w:val="single" w:sz="6" w:color="BBBBBB"/>
          <w:bottom w:val="single" w:sz="6" w:color="BBBBBB"/>
          <w:right w:val="single" w:sz="6" w:color="BBBBBB"/>
          <w:insideH w:val="single" w:sz="6" w:color="BBBBBB"/>
          <w:insideV w:val="single" w:sz="6" w:color="BBBBBB"/>
        </w:tblBorders>
      </w:tblPr>
      <w:tblGrid>
        <w:gridCol w:w="9298"/>
      </w:tblGrid>
      <w:tr>
        <w:tc>
          <w:tcPr>
            <w:tcW w:type="dxa" w:w="9298"/>
            <w:shd w:fill="F4F4F4"/>
          </w:tcPr>
          <w:p>
            <w:pPr>
              <w:spacing w:after="0"/>
            </w:pPr>
            <w:r>
              <w:rPr>
                <w:b/>
                <w:color w:val="111111"/>
                <w:sz w:val="20"/>
              </w:rPr>
              <w:t>What this is.</w:t>
            </w:r>
            <w:r>
              <w:rPr>
                <w:b w:val="0"/>
                <w:color w:val="111111"/>
                <w:sz w:val="20"/>
              </w:rPr>
              <w:t xml:space="preserve">  We built Groundwork’s cost estimator from four of your bills of quantities. </w:t>
            </w:r>
            <w:r>
              <w:rPr>
                <w:b/>
                <w:color w:val="111111"/>
                <w:sz w:val="20"/>
              </w:rPr>
              <w:t>Naka now reproduces to within 1%</w:t>
            </w:r>
            <w:r>
              <w:rPr>
                <w:b w:val="0"/>
                <w:color w:val="111111"/>
                <w:sz w:val="20"/>
              </w:rPr>
              <w:t xml:space="preserve"> — it is the only one of the four that priced a whole building the way we do, so it is the fairest measure. The other three each price a different scope.</w:t>
              <w:br/>
              <w:br/>
            </w:r>
            <w:r>
              <w:rPr>
                <w:b/>
                <w:color w:val="111111"/>
                <w:sz w:val="20"/>
              </w:rPr>
              <w:t>Thank you for the 4 September answers.</w:t>
            </w:r>
            <w:r>
              <w:rPr>
                <w:b w:val="0"/>
                <w:color w:val="111111"/>
                <w:sz w:val="20"/>
              </w:rPr>
              <w:t xml:space="preserve">  The timeline rule, the four professional fee lines, 2% contingency and the 5,000 XAF/m² design fee are all in and shipped. Please do not spend time on those again.</w:t>
              <w:br/>
              <w:br/>
              <w:t>The remaining gap sits in a small number of specific line items where your four documents disagree with one another, and we cannot tell from the files alone which reading is the correct one. Each question below is one of those. Every one you answer lets us tighten a real figure.</w:t>
            </w:r>
          </w:p>
        </w:tc>
      </w:tr>
    </w:tbl>
    <w:p>
      <w:pPr>
        <w:spacing w:after="40"/>
      </w:pPr>
    </w:p>
    <w:p>
      <w:pPr>
        <w:keepNext/>
        <w:spacing w:before="240" w:after="60"/>
      </w:pPr>
      <w:r>
        <w:rPr>
          <w:b/>
          <w:color w:val="111111"/>
          <w:sz w:val="25"/>
        </w:rPr>
        <w:t>How to answer</w:t>
      </w:r>
    </w:p>
    <w:p>
      <w:pPr>
        <w:spacing w:after="120"/>
      </w:pPr>
      <w:r>
        <w:rPr>
          <w:b w:val="0"/>
          <w:color w:val="111111"/>
          <w:sz w:val="21"/>
        </w:rPr>
        <w:t>There is a box under each question. A sentence is plenty — we are not asking you to reprice anything. Where a question offers two readings, telling us which one is right is the whole answer. Where we have simply guessed a rate, a corrected figure is all we need.</w:t>
      </w:r>
    </w:p>
    <w:p>
      <w:pPr>
        <w:spacing w:after="120"/>
      </w:pPr>
      <w:r>
        <w:rPr>
          <w:b w:val="0"/>
          <w:color w:val="111111"/>
          <w:sz w:val="21"/>
        </w:rPr>
        <w:t>If it is easier to talk than write, we will take notes on a call and send them back for you to correct.</w:t>
      </w:r>
    </w:p>
    <w:p>
      <w:pPr>
        <w:keepNext/>
        <w:spacing w:before="240" w:after="60"/>
      </w:pPr>
      <w:r>
        <w:rPr>
          <w:b/>
          <w:color w:val="111111"/>
          <w:sz w:val="25"/>
        </w:rPr>
        <w:t>The four documents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510"/>
        <w:gridCol w:w="4082"/>
        <w:gridCol w:w="2608"/>
        <w:gridCol w:w="2098"/>
      </w:tblGrid>
      <w:tr>
        <w:trPr>
          <w:cantSplit/>
          <w:tblHeader w:val="true"/>
        </w:trPr>
        <w:tc>
          <w:tcPr>
            <w:tcW w:type="dxa" w:w="510"/>
            <w:shd w:fill="EDEDED"/>
          </w:tcPr>
          <w:p>
            <w:pPr>
              <w:spacing w:after="20"/>
            </w:pPr>
            <w:r>
              <w:rPr>
                <w:b/>
                <w:sz w:val="19"/>
              </w:rPr>
              <w:t>#</w:t>
            </w:r>
          </w:p>
        </w:tc>
        <w:tc>
          <w:tcPr>
            <w:tcW w:type="dxa" w:w="4082"/>
            <w:shd w:fill="EDEDED"/>
          </w:tcPr>
          <w:p>
            <w:pPr>
              <w:spacing w:after="20"/>
            </w:pPr>
            <w:r>
              <w:rPr>
                <w:b/>
                <w:sz w:val="19"/>
              </w:rPr>
              <w:t>File</w:t>
            </w:r>
          </w:p>
        </w:tc>
        <w:tc>
          <w:tcPr>
            <w:tcW w:type="dxa" w:w="2608"/>
            <w:shd w:fill="EDEDED"/>
          </w:tcPr>
          <w:p>
            <w:pPr>
              <w:spacing w:after="20"/>
            </w:pPr>
            <w:r>
              <w:rPr>
                <w:b/>
                <w:sz w:val="19"/>
              </w:rPr>
              <w:t>Project</w:t>
            </w:r>
          </w:p>
        </w:tc>
        <w:tc>
          <w:tcPr>
            <w:tcW w:type="dxa" w:w="2098"/>
            <w:shd w:fill="EDEDED"/>
          </w:tcPr>
          <w:p>
            <w:pPr>
              <w:spacing w:after="20"/>
            </w:pPr>
            <w:r>
              <w:rPr>
                <w:b/>
                <w:sz w:val="19"/>
              </w:rPr>
              <w:t>Total (XAF)</w:t>
            </w:r>
          </w:p>
        </w:tc>
      </w:tr>
      <w:tr>
        <w:trPr>
          <w:cantSplit/>
        </w:trPr>
        <w:tc>
          <w:tcPr>
            <w:tcW w:type="dxa" w:w="510"/>
          </w:tcPr>
          <w:p>
            <w:pPr>
              <w:spacing w:after="20"/>
            </w:pPr>
            <w:r>
              <w:rPr>
                <w:b w:val="0"/>
                <w:color w:val="111111"/>
                <w:sz w:val="19"/>
              </w:rPr>
              <w:t>1</w:t>
            </w:r>
          </w:p>
        </w:tc>
        <w:tc>
          <w:tcPr>
            <w:tcW w:type="dxa" w:w="4082"/>
          </w:tcPr>
          <w:p>
            <w:pPr>
              <w:spacing w:after="20"/>
            </w:pPr>
            <w:r>
              <w:rPr>
                <w:b w:val="0"/>
                <w:color w:val="111111"/>
                <w:sz w:val="19"/>
              </w:rPr>
              <w:t>CONSTRUCTION ESTIMATE OF G+1 BUILDING .xlsx</w:t>
            </w:r>
          </w:p>
        </w:tc>
        <w:tc>
          <w:tcPr>
            <w:tcW w:type="dxa" w:w="2608"/>
          </w:tcPr>
          <w:p>
            <w:pPr>
              <w:spacing w:after="20"/>
            </w:pPr>
            <w:r>
              <w:rPr>
                <w:b w:val="0"/>
                <w:color w:val="111111"/>
                <w:sz w:val="19"/>
              </w:rPr>
              <w:t>Mme. Rose Ndum Kenah, Yaoundé</w:t>
            </w:r>
          </w:p>
        </w:tc>
        <w:tc>
          <w:tcPr>
            <w:tcW w:type="dxa" w:w="2098"/>
          </w:tcPr>
          <w:p>
            <w:pPr>
              <w:spacing w:after="20"/>
            </w:pPr>
            <w:r>
              <w:rPr>
                <w:b w:val="0"/>
                <w:color w:val="111111"/>
                <w:sz w:val="19"/>
              </w:rPr>
              <w:t>59,675,280</w:t>
            </w:r>
          </w:p>
        </w:tc>
      </w:tr>
      <w:tr>
        <w:trPr>
          <w:cantSplit/>
        </w:trPr>
        <w:tc>
          <w:tcPr>
            <w:tcW w:type="dxa" w:w="510"/>
          </w:tcPr>
          <w:p>
            <w:pPr>
              <w:spacing w:after="20"/>
            </w:pPr>
            <w:r>
              <w:rPr>
                <w:b w:val="0"/>
                <w:color w:val="111111"/>
                <w:sz w:val="19"/>
              </w:rPr>
              <w:t>2</w:t>
            </w:r>
          </w:p>
        </w:tc>
        <w:tc>
          <w:tcPr>
            <w:tcW w:type="dxa" w:w="4082"/>
          </w:tcPr>
          <w:p>
            <w:pPr>
              <w:spacing w:after="20"/>
            </w:pPr>
            <w:r>
              <w:rPr>
                <w:b w:val="0"/>
                <w:color w:val="111111"/>
                <w:sz w:val="19"/>
              </w:rPr>
              <w:t>BUEA RESIDENCE ESTIMATE.xlsx</w:t>
            </w:r>
          </w:p>
        </w:tc>
        <w:tc>
          <w:tcPr>
            <w:tcW w:type="dxa" w:w="2608"/>
          </w:tcPr>
          <w:p>
            <w:pPr>
              <w:spacing w:after="20"/>
            </w:pPr>
            <w:r>
              <w:rPr>
                <w:b w:val="0"/>
                <w:color w:val="111111"/>
                <w:sz w:val="19"/>
              </w:rPr>
              <w:t>Woyamukumbat, Buea</w:t>
            </w:r>
          </w:p>
        </w:tc>
        <w:tc>
          <w:tcPr>
            <w:tcW w:type="dxa" w:w="2098"/>
          </w:tcPr>
          <w:p>
            <w:pPr>
              <w:spacing w:after="20"/>
            </w:pPr>
            <w:r>
              <w:rPr>
                <w:b w:val="0"/>
                <w:color w:val="111111"/>
                <w:sz w:val="19"/>
              </w:rPr>
              <w:t>43,410,955</w:t>
            </w:r>
          </w:p>
        </w:tc>
      </w:tr>
      <w:tr>
        <w:trPr>
          <w:cantSplit/>
        </w:trPr>
        <w:tc>
          <w:tcPr>
            <w:tcW w:type="dxa" w:w="510"/>
          </w:tcPr>
          <w:p>
            <w:pPr>
              <w:spacing w:after="20"/>
            </w:pPr>
            <w:r>
              <w:rPr>
                <w:b w:val="0"/>
                <w:color w:val="111111"/>
                <w:sz w:val="19"/>
              </w:rPr>
              <w:t>3</w:t>
            </w:r>
          </w:p>
        </w:tc>
        <w:tc>
          <w:tcPr>
            <w:tcW w:type="dxa" w:w="4082"/>
          </w:tcPr>
          <w:p>
            <w:pPr>
              <w:spacing w:after="20"/>
            </w:pPr>
            <w:r>
              <w:rPr>
                <w:b w:val="0"/>
                <w:color w:val="111111"/>
                <w:sz w:val="19"/>
              </w:rPr>
              <w:t>NI PAS CONSTRUCTION ESTIMATE OF G+1 SCHOOL.xlsx</w:t>
            </w:r>
          </w:p>
        </w:tc>
        <w:tc>
          <w:tcPr>
            <w:tcW w:type="dxa" w:w="2608"/>
          </w:tcPr>
          <w:p>
            <w:pPr>
              <w:spacing w:after="20"/>
            </w:pPr>
            <w:r>
              <w:rPr>
                <w:b w:val="0"/>
                <w:color w:val="111111"/>
                <w:sz w:val="19"/>
              </w:rPr>
              <w:t>Naka</w:t>
            </w:r>
          </w:p>
        </w:tc>
        <w:tc>
          <w:tcPr>
            <w:tcW w:type="dxa" w:w="2098"/>
          </w:tcPr>
          <w:p>
            <w:pPr>
              <w:spacing w:after="20"/>
            </w:pPr>
            <w:r>
              <w:rPr>
                <w:b w:val="0"/>
                <w:color w:val="111111"/>
                <w:sz w:val="19"/>
              </w:rPr>
              <w:t>42,213,867</w:t>
            </w:r>
          </w:p>
        </w:tc>
      </w:tr>
      <w:tr>
        <w:trPr>
          <w:cantSplit/>
        </w:trPr>
        <w:tc>
          <w:tcPr>
            <w:tcW w:type="dxa" w:w="510"/>
          </w:tcPr>
          <w:p>
            <w:pPr>
              <w:spacing w:after="20"/>
            </w:pPr>
            <w:r>
              <w:rPr>
                <w:b w:val="0"/>
                <w:color w:val="111111"/>
                <w:sz w:val="19"/>
              </w:rPr>
              <w:t>4</w:t>
            </w:r>
          </w:p>
        </w:tc>
        <w:tc>
          <w:tcPr>
            <w:tcW w:type="dxa" w:w="4082"/>
          </w:tcPr>
          <w:p>
            <w:pPr>
              <w:spacing w:after="20"/>
            </w:pPr>
            <w:r>
              <w:rPr>
                <w:b w:val="0"/>
                <w:color w:val="111111"/>
                <w:sz w:val="19"/>
              </w:rPr>
              <w:t>MPANGOU.xlsx</w:t>
            </w:r>
          </w:p>
        </w:tc>
        <w:tc>
          <w:tcPr>
            <w:tcW w:type="dxa" w:w="2608"/>
          </w:tcPr>
          <w:p>
            <w:pPr>
              <w:spacing w:after="20"/>
            </w:pPr>
            <w:r>
              <w:rPr>
                <w:b w:val="0"/>
                <w:color w:val="111111"/>
                <w:sz w:val="19"/>
              </w:rPr>
              <w:t>Mpangou, Kribi (G+3)</w:t>
            </w:r>
          </w:p>
        </w:tc>
        <w:tc>
          <w:tcPr>
            <w:tcW w:type="dxa" w:w="2098"/>
          </w:tcPr>
          <w:p>
            <w:pPr>
              <w:spacing w:after="20"/>
            </w:pPr>
            <w:r>
              <w:rPr>
                <w:b w:val="0"/>
                <w:color w:val="111111"/>
                <w:sz w:val="19"/>
              </w:rPr>
              <w:t>64,268,593</w:t>
            </w:r>
          </w:p>
        </w:tc>
      </w:tr>
    </w:tbl>
    <w:p>
      <w:pPr>
        <w:spacing w:after="40"/>
      </w:pPr>
    </w:p>
    <w:p>
      <w:pPr>
        <w:keepNext/>
        <w:spacing w:before="240" w:after="60"/>
      </w:pPr>
      <w:r>
        <w:rPr>
          <w:b/>
          <w:color w:val="111111"/>
          <w:sz w:val="25"/>
        </w:rPr>
        <w:t>Where our estimate currently lands against each</w:t>
      </w:r>
    </w:p>
    <w:p>
      <w:pPr>
        <w:spacing w:after="120"/>
      </w:pPr>
      <w:r>
        <w:rPr>
          <w:b w:val="0"/>
          <w:color w:val="111111"/>
          <w:sz w:val="20"/>
        </w:rPr>
        <w:t xml:space="preserve">These are </w:t>
      </w:r>
      <w:r>
        <w:rPr>
          <w:b/>
          <w:color w:val="111111"/>
          <w:sz w:val="20"/>
        </w:rPr>
        <w:t>construction against construction</w:t>
      </w:r>
      <w:r>
        <w:rPr>
          <w:b w:val="0"/>
          <w:color w:val="111111"/>
          <w:sz w:val="20"/>
        </w:rPr>
        <w:t>. Your bills price the build itself, so the figures below are our build cost only — they exclude the design, permit and professional fees Groundwork charges a client on top. Comparing our client-facing total against your documents would flatter or penalise us for fees that are not in your scope.</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041"/>
        <w:gridCol w:w="1928"/>
        <w:gridCol w:w="1928"/>
        <w:gridCol w:w="1701"/>
        <w:gridCol w:w="1701"/>
      </w:tblGrid>
      <w:tr>
        <w:trPr>
          <w:cantSplit/>
          <w:tblHeader w:val="true"/>
        </w:trPr>
        <w:tc>
          <w:tcPr>
            <w:tcW w:type="dxa" w:w="2041"/>
            <w:shd w:fill="EDEDED"/>
          </w:tcPr>
          <w:p>
            <w:pPr>
              <w:spacing w:after="20"/>
            </w:pPr>
            <w:r>
              <w:rPr>
                <w:b/>
                <w:sz w:val="19"/>
              </w:rPr>
              <w:t>Document</w:t>
            </w:r>
          </w:p>
        </w:tc>
        <w:tc>
          <w:tcPr>
            <w:tcW w:type="dxa" w:w="1928"/>
            <w:shd w:fill="EDEDED"/>
          </w:tcPr>
          <w:p>
            <w:pPr>
              <w:spacing w:after="20"/>
            </w:pPr>
            <w:r>
              <w:rPr>
                <w:b/>
                <w:sz w:val="19"/>
              </w:rPr>
              <w:t>Yours (XAF)</w:t>
            </w:r>
          </w:p>
        </w:tc>
        <w:tc>
          <w:tcPr>
            <w:tcW w:type="dxa" w:w="1928"/>
            <w:shd w:fill="EDEDED"/>
          </w:tcPr>
          <w:p>
            <w:pPr>
              <w:spacing w:after="20"/>
            </w:pPr>
            <w:r>
              <w:rPr>
                <w:b/>
                <w:sz w:val="19"/>
              </w:rPr>
              <w:t>Ours (XAF)</w:t>
            </w:r>
          </w:p>
        </w:tc>
        <w:tc>
          <w:tcPr>
            <w:tcW w:type="dxa" w:w="1701"/>
            <w:shd w:fill="EDEDED"/>
          </w:tcPr>
          <w:p>
            <w:pPr>
              <w:spacing w:after="20"/>
            </w:pPr>
            <w:r>
              <w:rPr>
                <w:b/>
                <w:sz w:val="19"/>
              </w:rPr>
              <w:t>Difference</w:t>
            </w:r>
          </w:p>
        </w:tc>
        <w:tc>
          <w:tcPr>
            <w:tcW w:type="dxa" w:w="1701"/>
            <w:shd w:fill="EDEDED"/>
          </w:tcPr>
          <w:p>
            <w:pPr>
              <w:spacing w:after="20"/>
            </w:pPr>
            <w:r>
              <w:rPr>
                <w:b/>
                <w:sz w:val="19"/>
              </w:rPr>
              <w:t>In August</w:t>
            </w:r>
          </w:p>
        </w:tc>
      </w:tr>
      <w:tr>
        <w:trPr>
          <w:cantSplit/>
        </w:trPr>
        <w:tc>
          <w:tcPr>
            <w:tcW w:type="dxa" w:w="2041"/>
          </w:tcPr>
          <w:p>
            <w:pPr>
              <w:spacing w:after="20"/>
            </w:pPr>
            <w:r>
              <w:rPr>
                <w:b w:val="0"/>
                <w:color w:val="111111"/>
                <w:sz w:val="19"/>
              </w:rPr>
              <w:t>3  Naka</w:t>
            </w:r>
          </w:p>
        </w:tc>
        <w:tc>
          <w:tcPr>
            <w:tcW w:type="dxa" w:w="1928"/>
          </w:tcPr>
          <w:p>
            <w:pPr>
              <w:spacing w:after="20"/>
            </w:pPr>
            <w:r>
              <w:rPr>
                <w:b w:val="0"/>
                <w:color w:val="111111"/>
                <w:sz w:val="19"/>
              </w:rPr>
              <w:t>42,213,867</w:t>
            </w:r>
          </w:p>
        </w:tc>
        <w:tc>
          <w:tcPr>
            <w:tcW w:type="dxa" w:w="1928"/>
          </w:tcPr>
          <w:p>
            <w:pPr>
              <w:spacing w:after="20"/>
            </w:pPr>
            <w:r>
              <w:rPr>
                <w:b w:val="0"/>
                <w:color w:val="111111"/>
                <w:sz w:val="19"/>
              </w:rPr>
              <w:t>41,732,608</w:t>
            </w:r>
          </w:p>
        </w:tc>
        <w:tc>
          <w:tcPr>
            <w:tcW w:type="dxa" w:w="1701"/>
          </w:tcPr>
          <w:p>
            <w:pPr>
              <w:spacing w:after="20"/>
            </w:pPr>
            <w:r>
              <w:rPr>
                <w:b/>
                <w:color w:val="111111"/>
                <w:sz w:val="19"/>
              </w:rPr>
              <w:t>−1.1%</w:t>
            </w:r>
          </w:p>
        </w:tc>
        <w:tc>
          <w:tcPr>
            <w:tcW w:type="dxa" w:w="1701"/>
          </w:tcPr>
          <w:p>
            <w:pPr>
              <w:spacing w:after="20"/>
            </w:pPr>
            <w:r>
              <w:rPr>
                <w:b w:val="0"/>
                <w:color w:val="111111"/>
                <w:sz w:val="19"/>
              </w:rPr>
              <w:t>−5.4%</w:t>
            </w:r>
          </w:p>
        </w:tc>
      </w:tr>
      <w:tr>
        <w:trPr>
          <w:cantSplit/>
        </w:trPr>
        <w:tc>
          <w:tcPr>
            <w:tcW w:type="dxa" w:w="2041"/>
          </w:tcPr>
          <w:p>
            <w:pPr>
              <w:spacing w:after="20"/>
            </w:pPr>
            <w:r>
              <w:rPr>
                <w:b w:val="0"/>
                <w:color w:val="111111"/>
                <w:sz w:val="19"/>
              </w:rPr>
              <w:t>2  Buea</w:t>
            </w:r>
          </w:p>
        </w:tc>
        <w:tc>
          <w:tcPr>
            <w:tcW w:type="dxa" w:w="1928"/>
          </w:tcPr>
          <w:p>
            <w:pPr>
              <w:spacing w:after="20"/>
            </w:pPr>
            <w:r>
              <w:rPr>
                <w:b w:val="0"/>
                <w:color w:val="111111"/>
                <w:sz w:val="19"/>
              </w:rPr>
              <w:t>43,410,955</w:t>
            </w:r>
          </w:p>
        </w:tc>
        <w:tc>
          <w:tcPr>
            <w:tcW w:type="dxa" w:w="1928"/>
          </w:tcPr>
          <w:p>
            <w:pPr>
              <w:spacing w:after="20"/>
            </w:pPr>
            <w:r>
              <w:rPr>
                <w:b w:val="0"/>
                <w:color w:val="111111"/>
                <w:sz w:val="19"/>
              </w:rPr>
              <w:t>51,803,389</w:t>
            </w:r>
          </w:p>
        </w:tc>
        <w:tc>
          <w:tcPr>
            <w:tcW w:type="dxa" w:w="1701"/>
          </w:tcPr>
          <w:p>
            <w:pPr>
              <w:spacing w:after="20"/>
            </w:pPr>
            <w:r>
              <w:rPr>
                <w:b w:val="0"/>
                <w:color w:val="111111"/>
                <w:sz w:val="19"/>
              </w:rPr>
              <w:t>+19.3%</w:t>
            </w:r>
          </w:p>
        </w:tc>
        <w:tc>
          <w:tcPr>
            <w:tcW w:type="dxa" w:w="1701"/>
          </w:tcPr>
          <w:p>
            <w:pPr>
              <w:spacing w:after="20"/>
            </w:pPr>
            <w:r>
              <w:rPr>
                <w:b w:val="0"/>
                <w:color w:val="111111"/>
                <w:sz w:val="19"/>
              </w:rPr>
              <w:t>+17.5%</w:t>
            </w:r>
          </w:p>
        </w:tc>
      </w:tr>
      <w:tr>
        <w:trPr>
          <w:cantSplit/>
        </w:trPr>
        <w:tc>
          <w:tcPr>
            <w:tcW w:type="dxa" w:w="2041"/>
          </w:tcPr>
          <w:p>
            <w:pPr>
              <w:spacing w:after="20"/>
            </w:pPr>
            <w:r>
              <w:rPr>
                <w:b w:val="0"/>
                <w:color w:val="111111"/>
                <w:sz w:val="19"/>
              </w:rPr>
              <w:t>1  Rose</w:t>
            </w:r>
          </w:p>
        </w:tc>
        <w:tc>
          <w:tcPr>
            <w:tcW w:type="dxa" w:w="1928"/>
          </w:tcPr>
          <w:p>
            <w:pPr>
              <w:spacing w:after="20"/>
            </w:pPr>
            <w:r>
              <w:rPr>
                <w:b w:val="0"/>
                <w:color w:val="111111"/>
                <w:sz w:val="19"/>
              </w:rPr>
              <w:t>59,675,280</w:t>
            </w:r>
          </w:p>
        </w:tc>
        <w:tc>
          <w:tcPr>
            <w:tcW w:type="dxa" w:w="1928"/>
          </w:tcPr>
          <w:p>
            <w:pPr>
              <w:spacing w:after="20"/>
            </w:pPr>
            <w:r>
              <w:rPr>
                <w:b w:val="0"/>
                <w:color w:val="111111"/>
                <w:sz w:val="19"/>
              </w:rPr>
              <w:t>50,959,788</w:t>
            </w:r>
          </w:p>
        </w:tc>
        <w:tc>
          <w:tcPr>
            <w:tcW w:type="dxa" w:w="1701"/>
          </w:tcPr>
          <w:p>
            <w:pPr>
              <w:spacing w:after="20"/>
            </w:pPr>
            <w:r>
              <w:rPr>
                <w:b w:val="0"/>
                <w:color w:val="111111"/>
                <w:sz w:val="19"/>
              </w:rPr>
              <w:t>−14.6%</w:t>
            </w:r>
          </w:p>
        </w:tc>
        <w:tc>
          <w:tcPr>
            <w:tcW w:type="dxa" w:w="1701"/>
          </w:tcPr>
          <w:p>
            <w:pPr>
              <w:spacing w:after="20"/>
            </w:pPr>
            <w:r>
              <w:rPr>
                <w:b w:val="0"/>
                <w:color w:val="111111"/>
                <w:sz w:val="19"/>
              </w:rPr>
              <w:t>−20.7%</w:t>
            </w:r>
          </w:p>
        </w:tc>
      </w:tr>
      <w:tr>
        <w:trPr>
          <w:cantSplit/>
        </w:trPr>
        <w:tc>
          <w:tcPr>
            <w:tcW w:type="dxa" w:w="2041"/>
          </w:tcPr>
          <w:p>
            <w:pPr>
              <w:spacing w:after="20"/>
            </w:pPr>
            <w:r>
              <w:rPr>
                <w:b w:val="0"/>
                <w:color w:val="111111"/>
                <w:sz w:val="19"/>
              </w:rPr>
              <w:t>4  Mpangou</w:t>
            </w:r>
          </w:p>
        </w:tc>
        <w:tc>
          <w:tcPr>
            <w:tcW w:type="dxa" w:w="1928"/>
          </w:tcPr>
          <w:p>
            <w:pPr>
              <w:spacing w:after="20"/>
            </w:pPr>
            <w:r>
              <w:rPr>
                <w:b w:val="0"/>
                <w:color w:val="111111"/>
                <w:sz w:val="19"/>
              </w:rPr>
              <w:t>64,268,593</w:t>
            </w:r>
          </w:p>
        </w:tc>
        <w:tc>
          <w:tcPr>
            <w:tcW w:type="dxa" w:w="1928"/>
          </w:tcPr>
          <w:p>
            <w:pPr>
              <w:spacing w:after="20"/>
            </w:pPr>
            <w:r>
              <w:rPr>
                <w:b w:val="0"/>
                <w:color w:val="111111"/>
                <w:sz w:val="19"/>
              </w:rPr>
              <w:t>97,732,073</w:t>
            </w:r>
          </w:p>
        </w:tc>
        <w:tc>
          <w:tcPr>
            <w:tcW w:type="dxa" w:w="1701"/>
          </w:tcPr>
          <w:p>
            <w:pPr>
              <w:spacing w:after="20"/>
            </w:pPr>
            <w:r>
              <w:rPr>
                <w:b/>
                <w:color w:val="111111"/>
                <w:sz w:val="19"/>
              </w:rPr>
              <w:t>+52.1%</w:t>
            </w:r>
          </w:p>
        </w:tc>
        <w:tc>
          <w:tcPr>
            <w:tcW w:type="dxa" w:w="1701"/>
          </w:tcPr>
          <w:p>
            <w:pPr>
              <w:spacing w:after="20"/>
            </w:pPr>
            <w:r>
              <w:rPr>
                <w:b w:val="0"/>
                <w:color w:val="111111"/>
                <w:sz w:val="19"/>
              </w:rPr>
              <w:t>+31.1%</w:t>
            </w:r>
          </w:p>
        </w:tc>
      </w:tr>
    </w:tbl>
    <w:p>
      <w:pPr>
        <w:spacing w:after="40"/>
      </w:pPr>
    </w:p>
    <w:p>
      <w:pPr>
        <w:spacing w:after="120"/>
      </w:pPr>
      <w:r>
        <w:rPr>
          <w:b w:val="0"/>
          <w:color w:val="666666"/>
          <w:sz w:val="20"/>
        </w:rPr>
        <w:t>Naka is closest because it is the only document that measured internal partitions, painted every floor and priced a whole building — a like-for-like comparison. It is now within 1.1%.</w:t>
      </w:r>
    </w:p>
    <w:tbl>
      <w:tblPr>
        <w:tblW w:type="auto" w:w="0"/>
        <w:jc w:val="left"/>
        <w:tblLayout w:type="fixed"/>
        <w:tblLook w:firstColumn="1" w:firstRow="1" w:lastColumn="0" w:lastRow="0" w:noHBand="0" w:noVBand="1" w:val="04A0"/>
        <w:tblLayout w:type="fixed"/>
        <w:tblBorders>
          <w:top w:val="single" w:sz="6" w:color="A02020"/>
          <w:left w:val="single" w:sz="6" w:color="A02020"/>
          <w:bottom w:val="single" w:sz="6" w:color="A02020"/>
          <w:right w:val="single" w:sz="6" w:color="A02020"/>
          <w:insideH w:val="single" w:sz="6" w:color="A02020"/>
          <w:insideV w:val="single" w:sz="6" w:color="A02020"/>
        </w:tblBorders>
      </w:tblPr>
      <w:tblGrid>
        <w:gridCol w:w="9298"/>
      </w:tblGrid>
      <w:tr>
        <w:tc>
          <w:tcPr>
            <w:tcW w:type="dxa" w:w="9298"/>
            <w:shd w:fill="FDF3F3"/>
          </w:tcPr>
          <w:p>
            <w:pPr>
              <w:spacing w:after="0"/>
            </w:pPr>
            <w:r>
              <w:rPr>
                <w:b/>
                <w:color w:val="A02020"/>
                <w:sz w:val="20"/>
              </w:rPr>
              <w:t>Mpangou moved further away, and we did that on purpose.</w:t>
            </w:r>
            <w:r>
              <w:rPr>
                <w:b w:val="0"/>
                <w:color w:val="A02020"/>
                <w:sz w:val="20"/>
              </w:rPr>
              <w:t xml:space="preserve">  We found a counting error: our estimator charged </w:t>
            </w:r>
            <w:r>
              <w:rPr>
                <w:b/>
                <w:color w:val="A02020"/>
                <w:sz w:val="20"/>
              </w:rPr>
              <w:t>one</w:t>
            </w:r>
            <w:r>
              <w:rPr>
                <w:b w:val="0"/>
                <w:color w:val="A02020"/>
                <w:sz w:val="20"/>
              </w:rPr>
              <w:t xml:space="preserve"> suspended floor slab, one soffit plaster and one staircase for a building of any height. A suspended slab is the floor of the storey above it, so a G+3 needs three — we were pricing one.</w:t>
              <w:br/>
              <w:br/>
              <w:t>Correcting it added about 8.0 million XAF to Mpangou and changed nothing at all on the three G+1 documents. Mpangou is also the one document pricing a continuation of a half-built structure, so we expect to sit above it. Question 16 asks by how much.</w:t>
            </w:r>
          </w:p>
        </w:tc>
      </w:tr>
    </w:tbl>
    <w:p>
      <w:pPr>
        <w:spacing w:after="40"/>
      </w:pPr>
    </w:p>
    <w:p>
      <w:pPr>
        <w:pageBreakBefore/>
        <w:spacing w:before="40" w:after="140"/>
        <w:pBdr>
          <w:bottom w:val="single" w:sz="8" w:space="3" w:color="111111"/>
        </w:pBdr>
      </w:pPr>
      <w:r>
        <w:rPr>
          <w:b/>
          <w:color w:val="111111"/>
          <w:sz w:val="30"/>
        </w:rPr>
        <w:t>How we arrive at a figure</w:t>
      </w:r>
    </w:p>
    <w:p>
      <w:pPr>
        <w:spacing w:after="120"/>
      </w:pPr>
      <w:r>
        <w:rPr>
          <w:b w:val="0"/>
          <w:color w:val="111111"/>
          <w:sz w:val="21"/>
        </w:rPr>
        <w:t>This section is here so you can check the shape of the model, not only the individual line items. If the way we spread money across a build does not match how it is really spent on site, everything else is detail.</w:t>
      </w:r>
    </w:p>
    <w:p>
      <w:pPr>
        <w:keepNext/>
        <w:spacing w:before="240" w:after="60"/>
      </w:pPr>
      <w:r>
        <w:rPr>
          <w:b/>
          <w:color w:val="111111"/>
          <w:sz w:val="25"/>
        </w:rPr>
        <w:t>What a client is quoted</w:t>
      </w:r>
    </w:p>
    <w:p>
      <w:pPr>
        <w:spacing w:after="120"/>
      </w:pPr>
      <w:r>
        <w:rPr>
          <w:b w:val="0"/>
          <w:color w:val="111111"/>
          <w:sz w:val="21"/>
        </w:rPr>
        <w:t>Four separate things, shown as four lines. Only the first is a measured cost; the other three are fees.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1701"/>
        <w:gridCol w:w="5329"/>
        <w:gridCol w:w="2268"/>
      </w:tblGrid>
      <w:tr>
        <w:trPr>
          <w:cantSplit/>
          <w:tblHeader w:val="true"/>
        </w:trPr>
        <w:tc>
          <w:tcPr>
            <w:tcW w:type="dxa" w:w="1701"/>
            <w:shd w:fill="EDEDED"/>
          </w:tcPr>
          <w:p>
            <w:pPr>
              <w:spacing w:after="20"/>
            </w:pPr>
            <w:r>
              <w:rPr>
                <w:b/>
                <w:sz w:val="19"/>
              </w:rPr>
              <w:t>Line</w:t>
            </w:r>
          </w:p>
        </w:tc>
        <w:tc>
          <w:tcPr>
            <w:tcW w:type="dxa" w:w="5329"/>
            <w:shd w:fill="EDEDED"/>
          </w:tcPr>
          <w:p>
            <w:pPr>
              <w:spacing w:after="20"/>
            </w:pPr>
            <w:r>
              <w:rPr>
                <w:b/>
                <w:sz w:val="19"/>
              </w:rPr>
              <w:t>How it is worked out</w:t>
            </w:r>
          </w:p>
        </w:tc>
        <w:tc>
          <w:tcPr>
            <w:tcW w:type="dxa" w:w="2268"/>
            <w:shd w:fill="EDEDED"/>
          </w:tcPr>
          <w:p>
            <w:pPr>
              <w:spacing w:after="20"/>
            </w:pPr>
            <w:r>
              <w:rPr>
                <w:b/>
                <w:sz w:val="19"/>
              </w:rPr>
              <w:t>On the example below</w:t>
            </w:r>
          </w:p>
        </w:tc>
      </w:tr>
      <w:tr>
        <w:trPr>
          <w:cantSplit/>
        </w:trPr>
        <w:tc>
          <w:tcPr>
            <w:tcW w:type="dxa" w:w="1701"/>
          </w:tcPr>
          <w:p>
            <w:pPr>
              <w:spacing w:after="20"/>
            </w:pPr>
            <w:r>
              <w:rPr>
                <w:b/>
                <w:color w:val="111111"/>
                <w:sz w:val="19"/>
              </w:rPr>
              <w:t>Construction</w:t>
            </w:r>
          </w:p>
        </w:tc>
        <w:tc>
          <w:tcPr>
            <w:tcW w:type="dxa" w:w="5329"/>
          </w:tcPr>
          <w:p>
            <w:pPr>
              <w:spacing w:after="20"/>
            </w:pPr>
            <w:r>
              <w:rPr>
                <w:b w:val="0"/>
                <w:color w:val="111111"/>
                <w:sz w:val="19"/>
              </w:rPr>
              <w:t>Measured quantities priced at your rates. The build itself.</w:t>
            </w:r>
          </w:p>
        </w:tc>
        <w:tc>
          <w:tcPr>
            <w:tcW w:type="dxa" w:w="2268"/>
          </w:tcPr>
          <w:p>
            <w:pPr>
              <w:spacing w:after="20"/>
            </w:pPr>
            <w:r>
              <w:rPr>
                <w:b w:val="0"/>
                <w:color w:val="111111"/>
                <w:sz w:val="19"/>
              </w:rPr>
              <w:t>$62,490.00</w:t>
            </w:r>
          </w:p>
        </w:tc>
      </w:tr>
      <w:tr>
        <w:trPr>
          <w:cantSplit/>
        </w:trPr>
        <w:tc>
          <w:tcPr>
            <w:tcW w:type="dxa" w:w="1701"/>
          </w:tcPr>
          <w:p>
            <w:pPr>
              <w:spacing w:after="20"/>
            </w:pPr>
            <w:r>
              <w:rPr>
                <w:b/>
                <w:color w:val="111111"/>
                <w:sz w:val="19"/>
              </w:rPr>
              <w:t>Design</w:t>
            </w:r>
          </w:p>
        </w:tc>
        <w:tc>
          <w:tcPr>
            <w:tcW w:type="dxa" w:w="5329"/>
          </w:tcPr>
          <w:p>
            <w:pPr>
              <w:spacing w:after="20"/>
            </w:pPr>
            <w:r>
              <w:rPr>
                <w:b w:val="0"/>
                <w:color w:val="111111"/>
                <w:sz w:val="19"/>
              </w:rPr>
              <w:t>5,000 XAF per m² of built area (floor area × number of floors)</w:t>
            </w:r>
          </w:p>
        </w:tc>
        <w:tc>
          <w:tcPr>
            <w:tcW w:type="dxa" w:w="2268"/>
          </w:tcPr>
          <w:p>
            <w:pPr>
              <w:spacing w:after="20"/>
            </w:pPr>
            <w:r>
              <w:rPr>
                <w:b w:val="0"/>
                <w:color w:val="111111"/>
                <w:sz w:val="19"/>
              </w:rPr>
              <w:t>$2,000.00</w:t>
            </w:r>
          </w:p>
        </w:tc>
      </w:tr>
      <w:tr>
        <w:trPr>
          <w:cantSplit/>
        </w:trPr>
        <w:tc>
          <w:tcPr>
            <w:tcW w:type="dxa" w:w="1701"/>
          </w:tcPr>
          <w:p>
            <w:pPr>
              <w:spacing w:after="20"/>
            </w:pPr>
            <w:r>
              <w:rPr>
                <w:b/>
                <w:color w:val="111111"/>
                <w:sz w:val="19"/>
              </w:rPr>
              <w:t>Professional</w:t>
            </w:r>
          </w:p>
        </w:tc>
        <w:tc>
          <w:tcPr>
            <w:tcW w:type="dxa" w:w="5329"/>
          </w:tcPr>
          <w:p>
            <w:pPr>
              <w:spacing w:after="20"/>
            </w:pPr>
            <w:r>
              <w:rPr>
                <w:b w:val="0"/>
                <w:color w:val="111111"/>
                <w:sz w:val="19"/>
              </w:rPr>
              <w:t>50,000 XAF per construction stage, seven stages — a flat fee</w:t>
            </w:r>
          </w:p>
        </w:tc>
        <w:tc>
          <w:tcPr>
            <w:tcW w:type="dxa" w:w="2268"/>
          </w:tcPr>
          <w:p>
            <w:pPr>
              <w:spacing w:after="20"/>
            </w:pPr>
            <w:r>
              <w:rPr>
                <w:b w:val="0"/>
                <w:color w:val="111111"/>
                <w:sz w:val="19"/>
              </w:rPr>
              <w:t>$583.33</w:t>
            </w:r>
          </w:p>
        </w:tc>
      </w:tr>
      <w:tr>
        <w:trPr>
          <w:cantSplit/>
        </w:trPr>
        <w:tc>
          <w:tcPr>
            <w:tcW w:type="dxa" w:w="1701"/>
          </w:tcPr>
          <w:p>
            <w:pPr>
              <w:spacing w:after="20"/>
            </w:pPr>
            <w:r>
              <w:rPr>
                <w:b/>
                <w:color w:val="111111"/>
                <w:sz w:val="19"/>
              </w:rPr>
              <w:t>Permit</w:t>
            </w:r>
          </w:p>
        </w:tc>
        <w:tc>
          <w:tcPr>
            <w:tcW w:type="dxa" w:w="5329"/>
          </w:tcPr>
          <w:p>
            <w:pPr>
              <w:spacing w:after="20"/>
            </w:pPr>
            <w:r>
              <w:rPr>
                <w:b w:val="0"/>
                <w:color w:val="111111"/>
                <w:sz w:val="19"/>
              </w:rPr>
              <w:t>1% of the construction cost</w:t>
            </w:r>
          </w:p>
        </w:tc>
        <w:tc>
          <w:tcPr>
            <w:tcW w:type="dxa" w:w="2268"/>
          </w:tcPr>
          <w:p>
            <w:pPr>
              <w:spacing w:after="20"/>
            </w:pPr>
            <w:r>
              <w:rPr>
                <w:b w:val="0"/>
                <w:color w:val="111111"/>
                <w:sz w:val="19"/>
              </w:rPr>
              <w:t>$624.90</w:t>
            </w:r>
          </w:p>
        </w:tc>
      </w:tr>
      <w:tr>
        <w:trPr>
          <w:cantSplit/>
        </w:trPr>
        <w:tc>
          <w:tcPr>
            <w:tcW w:type="dxa" w:w="1701"/>
          </w:tcPr>
          <w:p>
            <w:pPr>
              <w:spacing w:after="20"/>
            </w:pPr>
            <w:r>
              <w:rPr>
                <w:b/>
                <w:color w:val="111111"/>
                <w:sz w:val="19"/>
              </w:rPr>
              <w:t>Total</w:t>
            </w:r>
          </w:p>
        </w:tc>
        <w:tc>
          <w:tcPr>
            <w:tcW w:type="dxa" w:w="5329"/>
          </w:tcPr>
          <w:p>
            <w:pPr>
              <w:spacing w:after="20"/>
            </w:pPr>
            <w:r>
              <w:rPr>
                <w:b w:val="0"/>
                <w:color w:val="111111"/>
                <w:sz w:val="19"/>
              </w:rPr>
              <w:t>The four added together</w:t>
            </w:r>
          </w:p>
        </w:tc>
        <w:tc>
          <w:tcPr>
            <w:tcW w:type="dxa" w:w="2268"/>
          </w:tcPr>
          <w:p>
            <w:pPr>
              <w:spacing w:after="20"/>
            </w:pPr>
            <w:r>
              <w:rPr>
                <w:b/>
                <w:color w:val="111111"/>
                <w:sz w:val="19"/>
              </w:rPr>
              <w:t>$65,698.23</w:t>
            </w:r>
          </w:p>
        </w:tc>
      </w:tr>
    </w:tbl>
    <w:p>
      <w:pPr>
        <w:spacing w:after="40"/>
      </w:pPr>
    </w:p>
    <w:p>
      <w:pPr>
        <w:keepNext/>
        <w:spacing w:before="240" w:after="60"/>
      </w:pPr>
      <w:r>
        <w:rPr>
          <w:b/>
          <w:color w:val="111111"/>
          <w:sz w:val="25"/>
        </w:rPr>
        <w:t>Where each of those numbers comes from</w:t>
      </w:r>
    </w:p>
    <w:p>
      <w:pPr>
        <w:spacing w:after="120"/>
      </w:pPr>
      <w:r>
        <w:rPr>
          <w:b w:val="0"/>
          <w:color w:val="111111"/>
          <w:sz w:val="21"/>
        </w:rPr>
        <w:t xml:space="preserve">This is the part worth your attention. </w:t>
      </w:r>
      <w:r>
        <w:rPr>
          <w:b/>
          <w:color w:val="111111"/>
          <w:sz w:val="21"/>
        </w:rPr>
        <w:t>Only the first line is derived from your documents.</w:t>
      </w:r>
      <w:r>
        <w:rPr>
          <w:b w:val="0"/>
          <w:color w:val="111111"/>
          <w:sz w:val="21"/>
        </w:rPr>
        <w:t xml:space="preserve"> The rest are commercial decisions Jalla has taken, and we would like to know whether they look sane to someone who prices real buildings.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494"/>
        <w:gridCol w:w="4535"/>
        <w:gridCol w:w="2268"/>
      </w:tblGrid>
      <w:tr>
        <w:trPr>
          <w:cantSplit/>
          <w:tblHeader w:val="true"/>
        </w:trPr>
        <w:tc>
          <w:tcPr>
            <w:tcW w:type="dxa" w:w="2494"/>
            <w:shd w:fill="EDEDED"/>
          </w:tcPr>
          <w:p>
            <w:pPr>
              <w:spacing w:after="20"/>
            </w:pPr>
            <w:r>
              <w:rPr>
                <w:b/>
                <w:sz w:val="19"/>
              </w:rPr>
              <w:t>Figure</w:t>
            </w:r>
          </w:p>
        </w:tc>
        <w:tc>
          <w:tcPr>
            <w:tcW w:type="dxa" w:w="4535"/>
            <w:shd w:fill="EDEDED"/>
          </w:tcPr>
          <w:p>
            <w:pPr>
              <w:spacing w:after="20"/>
            </w:pPr>
            <w:r>
              <w:rPr>
                <w:b/>
                <w:sz w:val="19"/>
              </w:rPr>
              <w:t>Where it came from</w:t>
            </w:r>
          </w:p>
        </w:tc>
        <w:tc>
          <w:tcPr>
            <w:tcW w:type="dxa" w:w="2268"/>
            <w:shd w:fill="EDEDED"/>
          </w:tcPr>
          <w:p>
            <w:pPr>
              <w:spacing w:after="20"/>
            </w:pPr>
            <w:r>
              <w:rPr>
                <w:b/>
                <w:sz w:val="19"/>
              </w:rPr>
              <w:t>Your view?</w:t>
            </w:r>
          </w:p>
        </w:tc>
      </w:tr>
      <w:tr>
        <w:trPr>
          <w:cantSplit/>
        </w:trPr>
        <w:tc>
          <w:tcPr>
            <w:tcW w:type="dxa" w:w="2494"/>
          </w:tcPr>
          <w:p>
            <w:pPr>
              <w:spacing w:after="20"/>
            </w:pPr>
            <w:r>
              <w:rPr>
                <w:b w:val="0"/>
                <w:color w:val="111111"/>
                <w:sz w:val="19"/>
              </w:rPr>
              <w:t>The build cost</w:t>
            </w:r>
          </w:p>
        </w:tc>
        <w:tc>
          <w:tcPr>
            <w:tcW w:type="dxa" w:w="4535"/>
          </w:tcPr>
          <w:p>
            <w:pPr>
              <w:spacing w:after="20"/>
            </w:pPr>
            <w:r>
              <w:rPr>
                <w:b w:val="0"/>
                <w:color w:val="111111"/>
                <w:sz w:val="19"/>
              </w:rPr>
              <w:t>Your four bills of quantities — quantities from the geometry, rates as quoted in your documents</w:t>
            </w:r>
          </w:p>
        </w:tc>
        <w:tc>
          <w:tcPr>
            <w:tcW w:type="dxa" w:w="2268"/>
          </w:tcPr>
          <w:p>
            <w:pPr>
              <w:spacing w:after="20"/>
            </w:pPr>
            <w:r>
              <w:rPr>
                <w:b w:val="0"/>
                <w:color w:val="111111"/>
                <w:sz w:val="19"/>
              </w:rPr>
              <w:t>Yes — Questions 1–15</w:t>
            </w:r>
          </w:p>
        </w:tc>
      </w:tr>
      <w:tr>
        <w:trPr>
          <w:cantSplit/>
        </w:trPr>
        <w:tc>
          <w:tcPr>
            <w:tcW w:type="dxa" w:w="2494"/>
          </w:tcPr>
          <w:p>
            <w:pPr>
              <w:spacing w:after="20"/>
            </w:pPr>
            <w:r>
              <w:rPr>
                <w:b w:val="0"/>
                <w:color w:val="111111"/>
                <w:sz w:val="19"/>
              </w:rPr>
              <w:t>60% material / 40% labour</w:t>
            </w:r>
          </w:p>
        </w:tc>
        <w:tc>
          <w:tcPr>
            <w:tcW w:type="dxa" w:w="4535"/>
          </w:tcPr>
          <w:p>
            <w:pPr>
              <w:spacing w:after="20"/>
            </w:pPr>
            <w:r>
              <w:rPr>
                <w:b w:val="0"/>
                <w:color w:val="111111"/>
                <w:sz w:val="19"/>
              </w:rPr>
              <w:t>A Jalla rule of thumb. Splits the build cost for display only; it does not change the total</w:t>
            </w:r>
          </w:p>
        </w:tc>
        <w:tc>
          <w:tcPr>
            <w:tcW w:type="dxa" w:w="2268"/>
          </w:tcPr>
          <w:p>
            <w:pPr>
              <w:spacing w:after="20"/>
            </w:pPr>
            <w:r>
              <w:rPr>
                <w:b w:val="0"/>
                <w:color w:val="111111"/>
                <w:sz w:val="19"/>
              </w:rPr>
              <w:t>Yes</w:t>
            </w:r>
          </w:p>
        </w:tc>
      </w:tr>
      <w:tr>
        <w:trPr>
          <w:cantSplit/>
        </w:trPr>
        <w:tc>
          <w:tcPr>
            <w:tcW w:type="dxa" w:w="2494"/>
          </w:tcPr>
          <w:p>
            <w:pPr>
              <w:spacing w:after="20"/>
            </w:pPr>
            <w:r>
              <w:rPr>
                <w:b w:val="0"/>
                <w:color w:val="111111"/>
                <w:sz w:val="19"/>
              </w:rPr>
              <w:t>Design fee, 5,000 XAF/m²</w:t>
            </w:r>
          </w:p>
        </w:tc>
        <w:tc>
          <w:tcPr>
            <w:tcW w:type="dxa" w:w="4535"/>
          </w:tcPr>
          <w:p>
            <w:pPr>
              <w:spacing w:after="20"/>
            </w:pPr>
            <w:r>
              <w:rPr>
                <w:b w:val="0"/>
                <w:color w:val="111111"/>
                <w:sz w:val="19"/>
              </w:rPr>
              <w:t>Set by Jalla</w:t>
            </w:r>
          </w:p>
        </w:tc>
        <w:tc>
          <w:tcPr>
            <w:tcW w:type="dxa" w:w="2268"/>
          </w:tcPr>
          <w:p>
            <w:pPr>
              <w:spacing w:after="20"/>
            </w:pPr>
            <w:r>
              <w:rPr>
                <w:b w:val="0"/>
                <w:color w:val="111111"/>
                <w:sz w:val="19"/>
              </w:rPr>
              <w:t>Sanity check</w:t>
            </w:r>
          </w:p>
        </w:tc>
      </w:tr>
      <w:tr>
        <w:trPr>
          <w:cantSplit/>
        </w:trPr>
        <w:tc>
          <w:tcPr>
            <w:tcW w:type="dxa" w:w="2494"/>
          </w:tcPr>
          <w:p>
            <w:pPr>
              <w:spacing w:after="20"/>
            </w:pPr>
            <w:r>
              <w:rPr>
                <w:b w:val="0"/>
                <w:color w:val="111111"/>
                <w:sz w:val="19"/>
              </w:rPr>
              <w:t>Professional fee, 50,000 XAF per stage</w:t>
            </w:r>
          </w:p>
        </w:tc>
        <w:tc>
          <w:tcPr>
            <w:tcW w:type="dxa" w:w="4535"/>
          </w:tcPr>
          <w:p>
            <w:pPr>
              <w:spacing w:after="20"/>
            </w:pPr>
            <w:r>
              <w:rPr>
                <w:b w:val="0"/>
                <w:color w:val="111111"/>
                <w:sz w:val="19"/>
              </w:rPr>
              <w:t>Set by Jalla</w:t>
            </w:r>
          </w:p>
        </w:tc>
        <w:tc>
          <w:tcPr>
            <w:tcW w:type="dxa" w:w="2268"/>
          </w:tcPr>
          <w:p>
            <w:pPr>
              <w:spacing w:after="20"/>
            </w:pPr>
            <w:r>
              <w:rPr>
                <w:b w:val="0"/>
                <w:color w:val="111111"/>
                <w:sz w:val="19"/>
              </w:rPr>
              <w:t>Sanity check</w:t>
            </w:r>
          </w:p>
        </w:tc>
      </w:tr>
      <w:tr>
        <w:trPr>
          <w:cantSplit/>
        </w:trPr>
        <w:tc>
          <w:tcPr>
            <w:tcW w:type="dxa" w:w="2494"/>
          </w:tcPr>
          <w:p>
            <w:pPr>
              <w:spacing w:after="20"/>
            </w:pPr>
            <w:r>
              <w:rPr>
                <w:b w:val="0"/>
                <w:color w:val="111111"/>
                <w:sz w:val="19"/>
              </w:rPr>
              <w:t>Permit fee, 1% of the build</w:t>
            </w:r>
          </w:p>
        </w:tc>
        <w:tc>
          <w:tcPr>
            <w:tcW w:type="dxa" w:w="4535"/>
          </w:tcPr>
          <w:p>
            <w:pPr>
              <w:spacing w:after="20"/>
            </w:pPr>
            <w:r>
              <w:rPr>
                <w:b w:val="0"/>
                <w:color w:val="111111"/>
                <w:sz w:val="19"/>
              </w:rPr>
              <w:t>Set by Jalla</w:t>
            </w:r>
          </w:p>
        </w:tc>
        <w:tc>
          <w:tcPr>
            <w:tcW w:type="dxa" w:w="2268"/>
          </w:tcPr>
          <w:p>
            <w:pPr>
              <w:spacing w:after="20"/>
            </w:pPr>
            <w:r>
              <w:rPr>
                <w:b/>
                <w:color w:val="111111"/>
                <w:sz w:val="19"/>
              </w:rPr>
              <w:t>Yes — Review 2</w:t>
            </w:r>
          </w:p>
        </w:tc>
      </w:tr>
      <w:tr>
        <w:trPr>
          <w:cantSplit/>
        </w:trPr>
        <w:tc>
          <w:tcPr>
            <w:tcW w:type="dxa" w:w="2494"/>
          </w:tcPr>
          <w:p>
            <w:pPr>
              <w:spacing w:after="20"/>
            </w:pPr>
            <w:r>
              <w:rPr>
                <w:b w:val="0"/>
                <w:color w:val="111111"/>
                <w:sz w:val="19"/>
              </w:rPr>
              <w:t>The ten stage percentages</w:t>
            </w:r>
          </w:p>
        </w:tc>
        <w:tc>
          <w:tcPr>
            <w:tcW w:type="dxa" w:w="4535"/>
          </w:tcPr>
          <w:p>
            <w:pPr>
              <w:spacing w:after="20"/>
            </w:pPr>
            <w:r>
              <w:rPr>
                <w:b w:val="0"/>
                <w:color w:val="111111"/>
                <w:sz w:val="19"/>
              </w:rPr>
              <w:t>Set by Jalla</w:t>
            </w:r>
          </w:p>
        </w:tc>
        <w:tc>
          <w:tcPr>
            <w:tcW w:type="dxa" w:w="2268"/>
          </w:tcPr>
          <w:p>
            <w:pPr>
              <w:spacing w:after="20"/>
            </w:pPr>
            <w:r>
              <w:rPr>
                <w:b/>
                <w:color w:val="111111"/>
                <w:sz w:val="19"/>
              </w:rPr>
              <w:t>Yes — Review 1</w:t>
            </w:r>
          </w:p>
        </w:tc>
      </w:tr>
    </w:tbl>
    <w:p>
      <w:pPr>
        <w:spacing w:after="40"/>
      </w:pPr>
    </w:p>
    <w:p>
      <w:pPr>
        <w:keepNext/>
        <w:spacing w:before="240" w:after="60"/>
      </w:pPr>
      <w:r>
        <w:rPr>
          <w:b/>
          <w:color w:val="111111"/>
          <w:sz w:val="25"/>
        </w:rPr>
        <w:t>How the build cost itself is worked out</w:t>
      </w:r>
    </w:p>
    <w:p>
      <w:pPr>
        <w:spacing w:after="120"/>
      </w:pPr>
      <w:r>
        <w:rPr>
          <w:b w:val="0"/>
          <w:color w:val="111111"/>
          <w:sz w:val="21"/>
        </w:rPr>
        <w:t>In plain terms: we take the size and shape of the building, work out the quantities the way you would — cubic metres of excavation, square metres of blockwork, linear metres of railing — and price each at the rate your documents quote for that city.</w:t>
      </w:r>
    </w:p>
    <w:p>
      <w:pPr>
        <w:spacing w:after="120"/>
      </w:pPr>
      <w:r>
        <w:rPr>
          <w:b w:val="0"/>
          <w:color w:val="111111"/>
          <w:sz w:val="21"/>
        </w:rPr>
        <w:t>We do not apply a single rate per square metre to the whole house. That was the old method, fitted to one document, and it overshot the other three by up to 146%. Quantities first and rates second is what brought it into the range on the previous page.</w:t>
      </w:r>
    </w:p>
    <w:p>
      <w:pPr>
        <w:keepNext/>
        <w:spacing w:before="240" w:after="60"/>
      </w:pPr>
      <w:r>
        <w:rPr>
          <w:b/>
          <w:color w:val="111111"/>
          <w:sz w:val="25"/>
        </w:rPr>
        <w:t>How the money is spread across the ten stages</w:t>
      </w:r>
    </w:p>
    <w:p>
      <w:pPr>
        <w:spacing w:after="120"/>
      </w:pPr>
      <w:r>
        <w:rPr>
          <w:b w:val="0"/>
          <w:color w:val="111111"/>
          <w:sz w:val="21"/>
        </w:rPr>
        <w:t xml:space="preserve">A client pays in stages as work completes. Each stage carries a share of the </w:t>
      </w:r>
      <w:r>
        <w:rPr>
          <w:b/>
          <w:color w:val="111111"/>
          <w:sz w:val="21"/>
        </w:rPr>
        <w:t>build cost</w:t>
      </w:r>
      <w:r>
        <w:rPr>
          <w:b w:val="0"/>
          <w:color w:val="111111"/>
          <w:sz w:val="21"/>
        </w:rPr>
        <w:t xml:space="preserve"> — not of the total, because the design, permit and professional fees are not site work and are paid separately.</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680"/>
        <w:gridCol w:w="4649"/>
        <w:gridCol w:w="3969"/>
      </w:tblGrid>
      <w:tr>
        <w:trPr>
          <w:cantSplit/>
          <w:tblHeader w:val="true"/>
        </w:trPr>
        <w:tc>
          <w:tcPr>
            <w:tcW w:type="dxa" w:w="680"/>
            <w:shd w:fill="EDEDED"/>
          </w:tcPr>
          <w:p>
            <w:pPr>
              <w:spacing w:after="20"/>
            </w:pPr>
            <w:r>
              <w:rPr>
                <w:b/>
                <w:sz w:val="19"/>
              </w:rPr>
              <w:t>#</w:t>
            </w:r>
          </w:p>
        </w:tc>
        <w:tc>
          <w:tcPr>
            <w:tcW w:type="dxa" w:w="4649"/>
            <w:shd w:fill="EDEDED"/>
          </w:tcPr>
          <w:p>
            <w:pPr>
              <w:spacing w:after="20"/>
            </w:pPr>
            <w:r>
              <w:rPr>
                <w:b/>
                <w:sz w:val="19"/>
              </w:rPr>
              <w:t>Stage</w:t>
            </w:r>
          </w:p>
        </w:tc>
        <w:tc>
          <w:tcPr>
            <w:tcW w:type="dxa" w:w="3969"/>
            <w:shd w:fill="EDEDED"/>
          </w:tcPr>
          <w:p>
            <w:pPr>
              <w:spacing w:after="20"/>
            </w:pPr>
            <w:r>
              <w:rPr>
                <w:b/>
                <w:sz w:val="19"/>
              </w:rPr>
              <w:t>Share of the build cost</w:t>
            </w:r>
          </w:p>
        </w:tc>
      </w:tr>
      <w:tr>
        <w:trPr>
          <w:cantSplit/>
        </w:trPr>
        <w:tc>
          <w:tcPr>
            <w:tcW w:type="dxa" w:w="680"/>
          </w:tcPr>
          <w:p>
            <w:pPr>
              <w:spacing w:after="20"/>
            </w:pPr>
            <w:r>
              <w:rPr>
                <w:b w:val="0"/>
                <w:color w:val="111111"/>
                <w:sz w:val="19"/>
              </w:rPr>
              <w:t>1</w:t>
            </w:r>
          </w:p>
        </w:tc>
        <w:tc>
          <w:tcPr>
            <w:tcW w:type="dxa" w:w="4649"/>
          </w:tcPr>
          <w:p>
            <w:pPr>
              <w:spacing w:after="20"/>
            </w:pPr>
            <w:r>
              <w:rPr>
                <w:b w:val="0"/>
                <w:color w:val="111111"/>
                <w:sz w:val="19"/>
              </w:rPr>
              <w:t>Land Secured</w:t>
            </w:r>
          </w:p>
        </w:tc>
        <w:tc>
          <w:tcPr>
            <w:tcW w:type="dxa" w:w="3969"/>
          </w:tcPr>
          <w:p>
            <w:pPr>
              <w:spacing w:after="20"/>
            </w:pPr>
            <w:r>
              <w:rPr>
                <w:b w:val="0"/>
                <w:color w:val="111111"/>
                <w:sz w:val="19"/>
              </w:rPr>
              <w:t>—  never in the budget</w:t>
            </w:r>
          </w:p>
        </w:tc>
      </w:tr>
      <w:tr>
        <w:trPr>
          <w:cantSplit/>
        </w:trPr>
        <w:tc>
          <w:tcPr>
            <w:tcW w:type="dxa" w:w="680"/>
          </w:tcPr>
          <w:p>
            <w:pPr>
              <w:spacing w:after="20"/>
            </w:pPr>
            <w:r>
              <w:rPr>
                <w:b w:val="0"/>
                <w:color w:val="111111"/>
                <w:sz w:val="19"/>
              </w:rPr>
              <w:t>2</w:t>
            </w:r>
          </w:p>
        </w:tc>
        <w:tc>
          <w:tcPr>
            <w:tcW w:type="dxa" w:w="4649"/>
          </w:tcPr>
          <w:p>
            <w:pPr>
              <w:spacing w:after="20"/>
            </w:pPr>
            <w:r>
              <w:rPr>
                <w:b w:val="0"/>
                <w:color w:val="111111"/>
                <w:sz w:val="19"/>
              </w:rPr>
              <w:t>Design Completed</w:t>
            </w:r>
          </w:p>
        </w:tc>
        <w:tc>
          <w:tcPr>
            <w:tcW w:type="dxa" w:w="3969"/>
          </w:tcPr>
          <w:p>
            <w:pPr>
              <w:spacing w:after="20"/>
            </w:pPr>
            <w:r>
              <w:rPr>
                <w:b w:val="0"/>
                <w:color w:val="111111"/>
                <w:sz w:val="19"/>
              </w:rPr>
              <w:t>—  paid as the design fee</w:t>
            </w:r>
          </w:p>
        </w:tc>
      </w:tr>
      <w:tr>
        <w:trPr>
          <w:cantSplit/>
        </w:trPr>
        <w:tc>
          <w:tcPr>
            <w:tcW w:type="dxa" w:w="680"/>
          </w:tcPr>
          <w:p>
            <w:pPr>
              <w:spacing w:after="20"/>
            </w:pPr>
            <w:r>
              <w:rPr>
                <w:b w:val="0"/>
                <w:color w:val="111111"/>
                <w:sz w:val="19"/>
              </w:rPr>
              <w:t>3</w:t>
            </w:r>
          </w:p>
        </w:tc>
        <w:tc>
          <w:tcPr>
            <w:tcW w:type="dxa" w:w="4649"/>
          </w:tcPr>
          <w:p>
            <w:pPr>
              <w:spacing w:after="20"/>
            </w:pPr>
            <w:r>
              <w:rPr>
                <w:b w:val="0"/>
                <w:color w:val="111111"/>
                <w:sz w:val="19"/>
              </w:rPr>
              <w:t>Site Preparation</w:t>
            </w:r>
          </w:p>
        </w:tc>
        <w:tc>
          <w:tcPr>
            <w:tcW w:type="dxa" w:w="3969"/>
          </w:tcPr>
          <w:p>
            <w:pPr>
              <w:spacing w:after="20"/>
            </w:pPr>
            <w:r>
              <w:rPr>
                <w:b w:val="0"/>
                <w:color w:val="111111"/>
                <w:sz w:val="19"/>
              </w:rPr>
              <w:t>2%</w:t>
            </w:r>
          </w:p>
        </w:tc>
      </w:tr>
      <w:tr>
        <w:trPr>
          <w:cantSplit/>
        </w:trPr>
        <w:tc>
          <w:tcPr>
            <w:tcW w:type="dxa" w:w="680"/>
          </w:tcPr>
          <w:p>
            <w:pPr>
              <w:spacing w:after="20"/>
            </w:pPr>
            <w:r>
              <w:rPr>
                <w:b w:val="0"/>
                <w:color w:val="111111"/>
                <w:sz w:val="19"/>
              </w:rPr>
              <w:t>4</w:t>
            </w:r>
          </w:p>
        </w:tc>
        <w:tc>
          <w:tcPr>
            <w:tcW w:type="dxa" w:w="4649"/>
          </w:tcPr>
          <w:p>
            <w:pPr>
              <w:spacing w:after="20"/>
            </w:pPr>
            <w:r>
              <w:rPr>
                <w:b w:val="0"/>
                <w:color w:val="111111"/>
                <w:sz w:val="19"/>
              </w:rPr>
              <w:t>Foundation</w:t>
            </w:r>
          </w:p>
        </w:tc>
        <w:tc>
          <w:tcPr>
            <w:tcW w:type="dxa" w:w="3969"/>
          </w:tcPr>
          <w:p>
            <w:pPr>
              <w:spacing w:after="20"/>
            </w:pPr>
            <w:r>
              <w:rPr>
                <w:b w:val="0"/>
                <w:color w:val="111111"/>
                <w:sz w:val="19"/>
              </w:rPr>
              <w:t>8%</w:t>
            </w:r>
          </w:p>
        </w:tc>
      </w:tr>
      <w:tr>
        <w:trPr>
          <w:cantSplit/>
        </w:trPr>
        <w:tc>
          <w:tcPr>
            <w:tcW w:type="dxa" w:w="680"/>
          </w:tcPr>
          <w:p>
            <w:pPr>
              <w:spacing w:after="20"/>
            </w:pPr>
            <w:r>
              <w:rPr>
                <w:b w:val="0"/>
                <w:color w:val="111111"/>
                <w:sz w:val="19"/>
              </w:rPr>
              <w:t>5</w:t>
            </w:r>
          </w:p>
        </w:tc>
        <w:tc>
          <w:tcPr>
            <w:tcW w:type="dxa" w:w="4649"/>
          </w:tcPr>
          <w:p>
            <w:pPr>
              <w:spacing w:after="20"/>
            </w:pPr>
            <w:r>
              <w:rPr>
                <w:b w:val="0"/>
                <w:color w:val="111111"/>
                <w:sz w:val="19"/>
              </w:rPr>
              <w:t>Structure &amp; Walls</w:t>
            </w:r>
          </w:p>
        </w:tc>
        <w:tc>
          <w:tcPr>
            <w:tcW w:type="dxa" w:w="3969"/>
          </w:tcPr>
          <w:p>
            <w:pPr>
              <w:spacing w:after="20"/>
            </w:pPr>
            <w:r>
              <w:rPr>
                <w:b w:val="0"/>
                <w:color w:val="111111"/>
                <w:sz w:val="19"/>
              </w:rPr>
              <w:t>30%</w:t>
            </w:r>
          </w:p>
        </w:tc>
      </w:tr>
      <w:tr>
        <w:trPr>
          <w:cantSplit/>
        </w:trPr>
        <w:tc>
          <w:tcPr>
            <w:tcW w:type="dxa" w:w="680"/>
          </w:tcPr>
          <w:p>
            <w:pPr>
              <w:spacing w:after="20"/>
            </w:pPr>
            <w:r>
              <w:rPr>
                <w:b w:val="0"/>
                <w:color w:val="111111"/>
                <w:sz w:val="19"/>
              </w:rPr>
              <w:t>6</w:t>
            </w:r>
          </w:p>
        </w:tc>
        <w:tc>
          <w:tcPr>
            <w:tcW w:type="dxa" w:w="4649"/>
          </w:tcPr>
          <w:p>
            <w:pPr>
              <w:spacing w:after="20"/>
            </w:pPr>
            <w:r>
              <w:rPr>
                <w:b w:val="0"/>
                <w:color w:val="111111"/>
                <w:sz w:val="19"/>
              </w:rPr>
              <w:t>Roofing</w:t>
            </w:r>
          </w:p>
        </w:tc>
        <w:tc>
          <w:tcPr>
            <w:tcW w:type="dxa" w:w="3969"/>
          </w:tcPr>
          <w:p>
            <w:pPr>
              <w:spacing w:after="20"/>
            </w:pPr>
            <w:r>
              <w:rPr>
                <w:b w:val="0"/>
                <w:color w:val="111111"/>
                <w:sz w:val="19"/>
              </w:rPr>
              <w:t>8%</w:t>
            </w:r>
          </w:p>
        </w:tc>
      </w:tr>
      <w:tr>
        <w:trPr>
          <w:cantSplit/>
        </w:trPr>
        <w:tc>
          <w:tcPr>
            <w:tcW w:type="dxa" w:w="680"/>
          </w:tcPr>
          <w:p>
            <w:pPr>
              <w:spacing w:after="20"/>
            </w:pPr>
            <w:r>
              <w:rPr>
                <w:b w:val="0"/>
                <w:color w:val="111111"/>
                <w:sz w:val="19"/>
              </w:rPr>
              <w:t>7</w:t>
            </w:r>
          </w:p>
        </w:tc>
        <w:tc>
          <w:tcPr>
            <w:tcW w:type="dxa" w:w="4649"/>
          </w:tcPr>
          <w:p>
            <w:pPr>
              <w:spacing w:after="20"/>
            </w:pPr>
            <w:r>
              <w:rPr>
                <w:b w:val="0"/>
                <w:color w:val="111111"/>
                <w:sz w:val="19"/>
              </w:rPr>
              <w:t>Electrical &amp; Plumbing</w:t>
            </w:r>
          </w:p>
        </w:tc>
        <w:tc>
          <w:tcPr>
            <w:tcW w:type="dxa" w:w="3969"/>
          </w:tcPr>
          <w:p>
            <w:pPr>
              <w:spacing w:after="20"/>
            </w:pPr>
            <w:r>
              <w:rPr>
                <w:b w:val="0"/>
                <w:color w:val="111111"/>
                <w:sz w:val="19"/>
              </w:rPr>
              <w:t>17%</w:t>
            </w:r>
          </w:p>
        </w:tc>
      </w:tr>
      <w:tr>
        <w:trPr>
          <w:cantSplit/>
        </w:trPr>
        <w:tc>
          <w:tcPr>
            <w:tcW w:type="dxa" w:w="680"/>
          </w:tcPr>
          <w:p>
            <w:pPr>
              <w:spacing w:after="20"/>
            </w:pPr>
            <w:r>
              <w:rPr>
                <w:b w:val="0"/>
                <w:color w:val="111111"/>
                <w:sz w:val="19"/>
              </w:rPr>
              <w:t>8</w:t>
            </w:r>
          </w:p>
        </w:tc>
        <w:tc>
          <w:tcPr>
            <w:tcW w:type="dxa" w:w="4649"/>
          </w:tcPr>
          <w:p>
            <w:pPr>
              <w:spacing w:after="20"/>
            </w:pPr>
            <w:r>
              <w:rPr>
                <w:b w:val="0"/>
                <w:color w:val="111111"/>
                <w:sz w:val="19"/>
              </w:rPr>
              <w:t>Finishing</w:t>
            </w:r>
          </w:p>
        </w:tc>
        <w:tc>
          <w:tcPr>
            <w:tcW w:type="dxa" w:w="3969"/>
          </w:tcPr>
          <w:p>
            <w:pPr>
              <w:spacing w:after="20"/>
            </w:pPr>
            <w:r>
              <w:rPr>
                <w:b w:val="0"/>
                <w:color w:val="111111"/>
                <w:sz w:val="19"/>
              </w:rPr>
              <w:t>30%</w:t>
            </w:r>
          </w:p>
        </w:tc>
      </w:tr>
      <w:tr>
        <w:trPr>
          <w:cantSplit/>
        </w:trPr>
        <w:tc>
          <w:tcPr>
            <w:tcW w:type="dxa" w:w="680"/>
          </w:tcPr>
          <w:p>
            <w:pPr>
              <w:spacing w:after="20"/>
            </w:pPr>
            <w:r>
              <w:rPr>
                <w:b w:val="0"/>
                <w:color w:val="111111"/>
                <w:sz w:val="19"/>
              </w:rPr>
              <w:t>9</w:t>
            </w:r>
          </w:p>
        </w:tc>
        <w:tc>
          <w:tcPr>
            <w:tcW w:type="dxa" w:w="4649"/>
          </w:tcPr>
          <w:p>
            <w:pPr>
              <w:spacing w:after="20"/>
            </w:pPr>
            <w:r>
              <w:rPr>
                <w:b w:val="0"/>
                <w:color w:val="111111"/>
                <w:sz w:val="19"/>
              </w:rPr>
              <w:t>Exterior Work</w:t>
            </w:r>
          </w:p>
        </w:tc>
        <w:tc>
          <w:tcPr>
            <w:tcW w:type="dxa" w:w="3969"/>
          </w:tcPr>
          <w:p>
            <w:pPr>
              <w:spacing w:after="20"/>
            </w:pPr>
            <w:r>
              <w:rPr>
                <w:b w:val="0"/>
                <w:color w:val="111111"/>
                <w:sz w:val="19"/>
              </w:rPr>
              <w:t>—  not quoted</w:t>
            </w:r>
          </w:p>
        </w:tc>
      </w:tr>
      <w:tr>
        <w:trPr>
          <w:cantSplit/>
        </w:trPr>
        <w:tc>
          <w:tcPr>
            <w:tcW w:type="dxa" w:w="680"/>
          </w:tcPr>
          <w:p>
            <w:pPr>
              <w:spacing w:after="20"/>
            </w:pPr>
            <w:r>
              <w:rPr>
                <w:b w:val="0"/>
                <w:color w:val="111111"/>
                <w:sz w:val="19"/>
              </w:rPr>
              <w:t>10</w:t>
            </w:r>
          </w:p>
        </w:tc>
        <w:tc>
          <w:tcPr>
            <w:tcW w:type="dxa" w:w="4649"/>
          </w:tcPr>
          <w:p>
            <w:pPr>
              <w:spacing w:after="20"/>
            </w:pPr>
            <w:r>
              <w:rPr>
                <w:b w:val="0"/>
                <w:color w:val="111111"/>
                <w:sz w:val="19"/>
              </w:rPr>
              <w:t>Final Handover</w:t>
            </w:r>
          </w:p>
        </w:tc>
        <w:tc>
          <w:tcPr>
            <w:tcW w:type="dxa" w:w="3969"/>
          </w:tcPr>
          <w:p>
            <w:pPr>
              <w:spacing w:after="20"/>
            </w:pPr>
            <w:r>
              <w:rPr>
                <w:b w:val="0"/>
                <w:color w:val="111111"/>
                <w:sz w:val="19"/>
              </w:rPr>
              <w:t>5%</w:t>
            </w:r>
          </w:p>
        </w:tc>
      </w:tr>
      <w:tr>
        <w:trPr>
          <w:cantSplit/>
        </w:trPr>
        <w:tc>
          <w:tcPr>
            <w:tcW w:type="dxa" w:w="680"/>
          </w:tcPr>
          <w:p>
            <w:pPr>
              <w:spacing w:after="20"/>
            </w:pPr>
          </w:p>
        </w:tc>
        <w:tc>
          <w:tcPr>
            <w:tcW w:type="dxa" w:w="4649"/>
          </w:tcPr>
          <w:p>
            <w:pPr>
              <w:spacing w:after="20"/>
            </w:pPr>
            <w:r>
              <w:rPr>
                <w:b/>
                <w:color w:val="111111"/>
                <w:sz w:val="19"/>
              </w:rPr>
              <w:t>The seven charged stages</w:t>
            </w:r>
          </w:p>
        </w:tc>
        <w:tc>
          <w:tcPr>
            <w:tcW w:type="dxa" w:w="3969"/>
          </w:tcPr>
          <w:p>
            <w:pPr>
              <w:spacing w:after="20"/>
            </w:pPr>
            <w:r>
              <w:rPr>
                <w:b/>
                <w:color w:val="111111"/>
                <w:sz w:val="19"/>
              </w:rPr>
              <w:t>100%</w:t>
            </w:r>
          </w:p>
        </w:tc>
      </w:tr>
    </w:tbl>
    <w:p>
      <w:pPr>
        <w:spacing w:after="40"/>
      </w:pPr>
    </w:p>
    <w:p>
      <w:pPr>
        <w:spacing w:after="120"/>
      </w:pPr>
      <w:r>
        <w:rPr>
          <w:b w:val="0"/>
          <w:color w:val="111111"/>
          <w:sz w:val="21"/>
        </w:rPr>
        <w:t xml:space="preserve">Three stages carry no percentage, for three different reasons. </w:t>
      </w:r>
      <w:r>
        <w:rPr>
          <w:b/>
          <w:color w:val="111111"/>
          <w:sz w:val="21"/>
        </w:rPr>
        <w:t>Land</w:t>
      </w:r>
      <w:r>
        <w:rPr>
          <w:b w:val="0"/>
          <w:color w:val="111111"/>
          <w:sz w:val="21"/>
        </w:rPr>
        <w:t xml:space="preserve"> is bought before Groundwork is involved. </w:t>
      </w:r>
      <w:r>
        <w:rPr>
          <w:b/>
          <w:color w:val="111111"/>
          <w:sz w:val="21"/>
        </w:rPr>
        <w:t>Design</w:t>
      </w:r>
      <w:r>
        <w:rPr>
          <w:b w:val="0"/>
          <w:color w:val="111111"/>
          <w:sz w:val="21"/>
        </w:rPr>
        <w:t xml:space="preserve"> is paid as its own fee at that stage rather than as a share. </w:t>
      </w:r>
      <w:r>
        <w:rPr>
          <w:b/>
          <w:color w:val="111111"/>
          <w:sz w:val="21"/>
        </w:rPr>
        <w:t>Exterior work</w:t>
      </w:r>
      <w:r>
        <w:rPr>
          <w:b w:val="0"/>
          <w:color w:val="111111"/>
          <w:sz w:val="21"/>
        </w:rPr>
        <w:t xml:space="preserve"> sits outside what we quote — the budget covers the main building.</w:t>
      </w:r>
    </w:p>
    <w:p>
      <w:pPr>
        <w:spacing w:after="120"/>
      </w:pPr>
      <w:r>
        <w:rPr>
          <w:b w:val="0"/>
          <w:color w:val="111111"/>
          <w:sz w:val="21"/>
        </w:rPr>
        <w:t>The seven that remain add to exactly 100%, so the stage payments add up to the build cost with nothing unallocated and nothing counted twice.</w:t>
      </w:r>
    </w:p>
    <w:p>
      <w:pPr>
        <w:keepNext/>
        <w:spacing w:before="240" w:after="60"/>
      </w:pPr>
      <w:r>
        <w:rPr>
          <w:b/>
          <w:color w:val="111111"/>
          <w:sz w:val="25"/>
        </w:rPr>
        <w:t>A worked example</w:t>
      </w:r>
    </w:p>
    <w:p>
      <w:pPr>
        <w:spacing w:after="120"/>
      </w:pPr>
      <w:r>
        <w:rPr>
          <w:b w:val="0"/>
          <w:color w:val="111111"/>
          <w:sz w:val="21"/>
        </w:rPr>
        <w:t>A two-storey single-family house in Douala: 120 m² per floor, standard finish, four bedrooms, three bathrooms. These are real figures out of the system, not an illustration.</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680"/>
        <w:gridCol w:w="4082"/>
        <w:gridCol w:w="1361"/>
        <w:gridCol w:w="3175"/>
      </w:tblGrid>
      <w:tr>
        <w:trPr>
          <w:cantSplit/>
          <w:tblHeader w:val="true"/>
        </w:trPr>
        <w:tc>
          <w:tcPr>
            <w:tcW w:type="dxa" w:w="680"/>
            <w:shd w:fill="EDEDED"/>
          </w:tcPr>
          <w:p>
            <w:pPr>
              <w:spacing w:after="20"/>
            </w:pPr>
            <w:r>
              <w:rPr>
                <w:b/>
                <w:sz w:val="19"/>
              </w:rPr>
              <w:t>#</w:t>
            </w:r>
          </w:p>
        </w:tc>
        <w:tc>
          <w:tcPr>
            <w:tcW w:type="dxa" w:w="4082"/>
            <w:shd w:fill="EDEDED"/>
          </w:tcPr>
          <w:p>
            <w:pPr>
              <w:spacing w:after="20"/>
            </w:pPr>
            <w:r>
              <w:rPr>
                <w:b/>
                <w:sz w:val="19"/>
              </w:rPr>
              <w:t>Stage</w:t>
            </w:r>
          </w:p>
        </w:tc>
        <w:tc>
          <w:tcPr>
            <w:tcW w:type="dxa" w:w="1361"/>
            <w:shd w:fill="EDEDED"/>
          </w:tcPr>
          <w:p>
            <w:pPr>
              <w:spacing w:after="20"/>
            </w:pPr>
            <w:r>
              <w:rPr>
                <w:b/>
                <w:sz w:val="19"/>
              </w:rPr>
              <w:t>Share</w:t>
            </w:r>
          </w:p>
        </w:tc>
        <w:tc>
          <w:tcPr>
            <w:tcW w:type="dxa" w:w="3175"/>
            <w:shd w:fill="EDEDED"/>
          </w:tcPr>
          <w:p>
            <w:pPr>
              <w:spacing w:after="20"/>
            </w:pPr>
            <w:r>
              <w:rPr>
                <w:b/>
                <w:sz w:val="19"/>
              </w:rPr>
              <w:t>Client pays</w:t>
            </w:r>
          </w:p>
        </w:tc>
      </w:tr>
      <w:tr>
        <w:trPr>
          <w:cantSplit/>
        </w:trPr>
        <w:tc>
          <w:tcPr>
            <w:tcW w:type="dxa" w:w="680"/>
          </w:tcPr>
          <w:p>
            <w:pPr>
              <w:spacing w:after="20"/>
            </w:pPr>
            <w:r>
              <w:rPr>
                <w:b w:val="0"/>
                <w:color w:val="111111"/>
                <w:sz w:val="19"/>
              </w:rPr>
              <w:t>1</w:t>
            </w:r>
          </w:p>
        </w:tc>
        <w:tc>
          <w:tcPr>
            <w:tcW w:type="dxa" w:w="4082"/>
          </w:tcPr>
          <w:p>
            <w:pPr>
              <w:spacing w:after="20"/>
            </w:pPr>
            <w:r>
              <w:rPr>
                <w:b w:val="0"/>
                <w:color w:val="111111"/>
                <w:sz w:val="19"/>
              </w:rPr>
              <w:t>Land Secured</w:t>
            </w:r>
          </w:p>
        </w:tc>
        <w:tc>
          <w:tcPr>
            <w:tcW w:type="dxa" w:w="1361"/>
          </w:tcPr>
          <w:p>
            <w:pPr>
              <w:spacing w:after="20"/>
            </w:pPr>
            <w:r>
              <w:rPr>
                <w:b w:val="0"/>
                <w:color w:val="111111"/>
                <w:sz w:val="19"/>
              </w:rPr>
              <w:t>—</w:t>
            </w:r>
          </w:p>
        </w:tc>
        <w:tc>
          <w:tcPr>
            <w:tcW w:type="dxa" w:w="3175"/>
          </w:tcPr>
          <w:p>
            <w:pPr>
              <w:spacing w:after="20"/>
            </w:pPr>
            <w:r>
              <w:rPr>
                <w:b w:val="0"/>
                <w:color w:val="111111"/>
                <w:sz w:val="19"/>
              </w:rPr>
              <w:t>$0.00</w:t>
            </w:r>
          </w:p>
        </w:tc>
      </w:tr>
      <w:tr>
        <w:trPr>
          <w:cantSplit/>
        </w:trPr>
        <w:tc>
          <w:tcPr>
            <w:tcW w:type="dxa" w:w="680"/>
          </w:tcPr>
          <w:p>
            <w:pPr>
              <w:spacing w:after="20"/>
            </w:pPr>
            <w:r>
              <w:rPr>
                <w:b w:val="0"/>
                <w:color w:val="111111"/>
                <w:sz w:val="19"/>
              </w:rPr>
              <w:t>2</w:t>
            </w:r>
          </w:p>
        </w:tc>
        <w:tc>
          <w:tcPr>
            <w:tcW w:type="dxa" w:w="4082"/>
          </w:tcPr>
          <w:p>
            <w:pPr>
              <w:spacing w:after="20"/>
            </w:pPr>
            <w:r>
              <w:rPr>
                <w:b w:val="0"/>
                <w:color w:val="111111"/>
                <w:sz w:val="19"/>
              </w:rPr>
              <w:t>Design Completed</w:t>
            </w:r>
          </w:p>
        </w:tc>
        <w:tc>
          <w:tcPr>
            <w:tcW w:type="dxa" w:w="1361"/>
          </w:tcPr>
          <w:p>
            <w:pPr>
              <w:spacing w:after="20"/>
            </w:pPr>
            <w:r>
              <w:rPr>
                <w:b w:val="0"/>
                <w:color w:val="111111"/>
                <w:sz w:val="19"/>
              </w:rPr>
              <w:t>fee</w:t>
            </w:r>
          </w:p>
        </w:tc>
        <w:tc>
          <w:tcPr>
            <w:tcW w:type="dxa" w:w="3175"/>
          </w:tcPr>
          <w:p>
            <w:pPr>
              <w:spacing w:after="20"/>
            </w:pPr>
            <w:r>
              <w:rPr>
                <w:b w:val="0"/>
                <w:color w:val="111111"/>
                <w:sz w:val="19"/>
              </w:rPr>
              <w:t>$2,000.00</w:t>
            </w:r>
          </w:p>
        </w:tc>
      </w:tr>
      <w:tr>
        <w:trPr>
          <w:cantSplit/>
        </w:trPr>
        <w:tc>
          <w:tcPr>
            <w:tcW w:type="dxa" w:w="680"/>
          </w:tcPr>
          <w:p>
            <w:pPr>
              <w:spacing w:after="20"/>
            </w:pPr>
            <w:r>
              <w:rPr>
                <w:b w:val="0"/>
                <w:color w:val="111111"/>
                <w:sz w:val="19"/>
              </w:rPr>
              <w:t>3</w:t>
            </w:r>
          </w:p>
        </w:tc>
        <w:tc>
          <w:tcPr>
            <w:tcW w:type="dxa" w:w="4082"/>
          </w:tcPr>
          <w:p>
            <w:pPr>
              <w:spacing w:after="20"/>
            </w:pPr>
            <w:r>
              <w:rPr>
                <w:b w:val="0"/>
                <w:color w:val="111111"/>
                <w:sz w:val="19"/>
              </w:rPr>
              <w:t>Site Preparation</w:t>
            </w:r>
          </w:p>
        </w:tc>
        <w:tc>
          <w:tcPr>
            <w:tcW w:type="dxa" w:w="1361"/>
          </w:tcPr>
          <w:p>
            <w:pPr>
              <w:spacing w:after="20"/>
            </w:pPr>
            <w:r>
              <w:rPr>
                <w:b w:val="0"/>
                <w:color w:val="111111"/>
                <w:sz w:val="19"/>
              </w:rPr>
              <w:t>2%</w:t>
            </w:r>
          </w:p>
        </w:tc>
        <w:tc>
          <w:tcPr>
            <w:tcW w:type="dxa" w:w="3175"/>
          </w:tcPr>
          <w:p>
            <w:pPr>
              <w:spacing w:after="20"/>
            </w:pPr>
            <w:r>
              <w:rPr>
                <w:b w:val="0"/>
                <w:color w:val="111111"/>
                <w:sz w:val="19"/>
              </w:rPr>
              <w:t>$1,249.80</w:t>
            </w:r>
          </w:p>
        </w:tc>
      </w:tr>
      <w:tr>
        <w:trPr>
          <w:cantSplit/>
        </w:trPr>
        <w:tc>
          <w:tcPr>
            <w:tcW w:type="dxa" w:w="680"/>
          </w:tcPr>
          <w:p>
            <w:pPr>
              <w:spacing w:after="20"/>
            </w:pPr>
            <w:r>
              <w:rPr>
                <w:b w:val="0"/>
                <w:color w:val="111111"/>
                <w:sz w:val="19"/>
              </w:rPr>
              <w:t>4</w:t>
            </w:r>
          </w:p>
        </w:tc>
        <w:tc>
          <w:tcPr>
            <w:tcW w:type="dxa" w:w="4082"/>
          </w:tcPr>
          <w:p>
            <w:pPr>
              <w:spacing w:after="20"/>
            </w:pPr>
            <w:r>
              <w:rPr>
                <w:b w:val="0"/>
                <w:color w:val="111111"/>
                <w:sz w:val="19"/>
              </w:rPr>
              <w:t>Foundation</w:t>
            </w:r>
          </w:p>
        </w:tc>
        <w:tc>
          <w:tcPr>
            <w:tcW w:type="dxa" w:w="1361"/>
          </w:tcPr>
          <w:p>
            <w:pPr>
              <w:spacing w:after="20"/>
            </w:pPr>
            <w:r>
              <w:rPr>
                <w:b w:val="0"/>
                <w:color w:val="111111"/>
                <w:sz w:val="19"/>
              </w:rPr>
              <w:t>8%</w:t>
            </w:r>
          </w:p>
        </w:tc>
        <w:tc>
          <w:tcPr>
            <w:tcW w:type="dxa" w:w="3175"/>
          </w:tcPr>
          <w:p>
            <w:pPr>
              <w:spacing w:after="20"/>
            </w:pPr>
            <w:r>
              <w:rPr>
                <w:b w:val="0"/>
                <w:color w:val="111111"/>
                <w:sz w:val="19"/>
              </w:rPr>
              <w:t>$4,999.20</w:t>
            </w:r>
          </w:p>
        </w:tc>
      </w:tr>
      <w:tr>
        <w:trPr>
          <w:cantSplit/>
        </w:trPr>
        <w:tc>
          <w:tcPr>
            <w:tcW w:type="dxa" w:w="680"/>
          </w:tcPr>
          <w:p>
            <w:pPr>
              <w:spacing w:after="20"/>
            </w:pPr>
            <w:r>
              <w:rPr>
                <w:b w:val="0"/>
                <w:color w:val="111111"/>
                <w:sz w:val="19"/>
              </w:rPr>
              <w:t>5</w:t>
            </w:r>
          </w:p>
        </w:tc>
        <w:tc>
          <w:tcPr>
            <w:tcW w:type="dxa" w:w="4082"/>
          </w:tcPr>
          <w:p>
            <w:pPr>
              <w:spacing w:after="20"/>
            </w:pPr>
            <w:r>
              <w:rPr>
                <w:b w:val="0"/>
                <w:color w:val="111111"/>
                <w:sz w:val="19"/>
              </w:rPr>
              <w:t>Structure &amp; Walls</w:t>
            </w:r>
          </w:p>
        </w:tc>
        <w:tc>
          <w:tcPr>
            <w:tcW w:type="dxa" w:w="1361"/>
          </w:tcPr>
          <w:p>
            <w:pPr>
              <w:spacing w:after="20"/>
            </w:pPr>
            <w:r>
              <w:rPr>
                <w:b w:val="0"/>
                <w:color w:val="111111"/>
                <w:sz w:val="19"/>
              </w:rPr>
              <w:t>30%</w:t>
            </w:r>
          </w:p>
        </w:tc>
        <w:tc>
          <w:tcPr>
            <w:tcW w:type="dxa" w:w="3175"/>
          </w:tcPr>
          <w:p>
            <w:pPr>
              <w:spacing w:after="20"/>
            </w:pPr>
            <w:r>
              <w:rPr>
                <w:b w:val="0"/>
                <w:color w:val="111111"/>
                <w:sz w:val="19"/>
              </w:rPr>
              <w:t>$18,747.00</w:t>
            </w:r>
          </w:p>
        </w:tc>
      </w:tr>
      <w:tr>
        <w:trPr>
          <w:cantSplit/>
        </w:trPr>
        <w:tc>
          <w:tcPr>
            <w:tcW w:type="dxa" w:w="680"/>
          </w:tcPr>
          <w:p>
            <w:pPr>
              <w:spacing w:after="20"/>
            </w:pPr>
            <w:r>
              <w:rPr>
                <w:b w:val="0"/>
                <w:color w:val="111111"/>
                <w:sz w:val="19"/>
              </w:rPr>
              <w:t>6</w:t>
            </w:r>
          </w:p>
        </w:tc>
        <w:tc>
          <w:tcPr>
            <w:tcW w:type="dxa" w:w="4082"/>
          </w:tcPr>
          <w:p>
            <w:pPr>
              <w:spacing w:after="20"/>
            </w:pPr>
            <w:r>
              <w:rPr>
                <w:b w:val="0"/>
                <w:color w:val="111111"/>
                <w:sz w:val="19"/>
              </w:rPr>
              <w:t>Roofing</w:t>
            </w:r>
          </w:p>
        </w:tc>
        <w:tc>
          <w:tcPr>
            <w:tcW w:type="dxa" w:w="1361"/>
          </w:tcPr>
          <w:p>
            <w:pPr>
              <w:spacing w:after="20"/>
            </w:pPr>
            <w:r>
              <w:rPr>
                <w:b w:val="0"/>
                <w:color w:val="111111"/>
                <w:sz w:val="19"/>
              </w:rPr>
              <w:t>8%</w:t>
            </w:r>
          </w:p>
        </w:tc>
        <w:tc>
          <w:tcPr>
            <w:tcW w:type="dxa" w:w="3175"/>
          </w:tcPr>
          <w:p>
            <w:pPr>
              <w:spacing w:after="20"/>
            </w:pPr>
            <w:r>
              <w:rPr>
                <w:b w:val="0"/>
                <w:color w:val="111111"/>
                <w:sz w:val="19"/>
              </w:rPr>
              <w:t>$4,999.20</w:t>
            </w:r>
          </w:p>
        </w:tc>
      </w:tr>
      <w:tr>
        <w:trPr>
          <w:cantSplit/>
        </w:trPr>
        <w:tc>
          <w:tcPr>
            <w:tcW w:type="dxa" w:w="680"/>
          </w:tcPr>
          <w:p>
            <w:pPr>
              <w:spacing w:after="20"/>
            </w:pPr>
            <w:r>
              <w:rPr>
                <w:b w:val="0"/>
                <w:color w:val="111111"/>
                <w:sz w:val="19"/>
              </w:rPr>
              <w:t>7</w:t>
            </w:r>
          </w:p>
        </w:tc>
        <w:tc>
          <w:tcPr>
            <w:tcW w:type="dxa" w:w="4082"/>
          </w:tcPr>
          <w:p>
            <w:pPr>
              <w:spacing w:after="20"/>
            </w:pPr>
            <w:r>
              <w:rPr>
                <w:b w:val="0"/>
                <w:color w:val="111111"/>
                <w:sz w:val="19"/>
              </w:rPr>
              <w:t>Electrical &amp; Plumbing</w:t>
            </w:r>
          </w:p>
        </w:tc>
        <w:tc>
          <w:tcPr>
            <w:tcW w:type="dxa" w:w="1361"/>
          </w:tcPr>
          <w:p>
            <w:pPr>
              <w:spacing w:after="20"/>
            </w:pPr>
            <w:r>
              <w:rPr>
                <w:b w:val="0"/>
                <w:color w:val="111111"/>
                <w:sz w:val="19"/>
              </w:rPr>
              <w:t>17%</w:t>
            </w:r>
          </w:p>
        </w:tc>
        <w:tc>
          <w:tcPr>
            <w:tcW w:type="dxa" w:w="3175"/>
          </w:tcPr>
          <w:p>
            <w:pPr>
              <w:spacing w:after="20"/>
            </w:pPr>
            <w:r>
              <w:rPr>
                <w:b w:val="0"/>
                <w:color w:val="111111"/>
                <w:sz w:val="19"/>
              </w:rPr>
              <w:t>$10,623.30</w:t>
            </w:r>
          </w:p>
        </w:tc>
      </w:tr>
      <w:tr>
        <w:trPr>
          <w:cantSplit/>
        </w:trPr>
        <w:tc>
          <w:tcPr>
            <w:tcW w:type="dxa" w:w="680"/>
          </w:tcPr>
          <w:p>
            <w:pPr>
              <w:spacing w:after="20"/>
            </w:pPr>
            <w:r>
              <w:rPr>
                <w:b w:val="0"/>
                <w:color w:val="111111"/>
                <w:sz w:val="19"/>
              </w:rPr>
              <w:t>8</w:t>
            </w:r>
          </w:p>
        </w:tc>
        <w:tc>
          <w:tcPr>
            <w:tcW w:type="dxa" w:w="4082"/>
          </w:tcPr>
          <w:p>
            <w:pPr>
              <w:spacing w:after="20"/>
            </w:pPr>
            <w:r>
              <w:rPr>
                <w:b w:val="0"/>
                <w:color w:val="111111"/>
                <w:sz w:val="19"/>
              </w:rPr>
              <w:t>Finishing</w:t>
            </w:r>
          </w:p>
        </w:tc>
        <w:tc>
          <w:tcPr>
            <w:tcW w:type="dxa" w:w="1361"/>
          </w:tcPr>
          <w:p>
            <w:pPr>
              <w:spacing w:after="20"/>
            </w:pPr>
            <w:r>
              <w:rPr>
                <w:b w:val="0"/>
                <w:color w:val="111111"/>
                <w:sz w:val="19"/>
              </w:rPr>
              <w:t>30%</w:t>
            </w:r>
          </w:p>
        </w:tc>
        <w:tc>
          <w:tcPr>
            <w:tcW w:type="dxa" w:w="3175"/>
          </w:tcPr>
          <w:p>
            <w:pPr>
              <w:spacing w:after="20"/>
            </w:pPr>
            <w:r>
              <w:rPr>
                <w:b w:val="0"/>
                <w:color w:val="111111"/>
                <w:sz w:val="19"/>
              </w:rPr>
              <w:t>$18,747.00</w:t>
            </w:r>
          </w:p>
        </w:tc>
      </w:tr>
      <w:tr>
        <w:trPr>
          <w:cantSplit/>
        </w:trPr>
        <w:tc>
          <w:tcPr>
            <w:tcW w:type="dxa" w:w="680"/>
          </w:tcPr>
          <w:p>
            <w:pPr>
              <w:spacing w:after="20"/>
            </w:pPr>
            <w:r>
              <w:rPr>
                <w:b w:val="0"/>
                <w:color w:val="111111"/>
                <w:sz w:val="19"/>
              </w:rPr>
              <w:t>9</w:t>
            </w:r>
          </w:p>
        </w:tc>
        <w:tc>
          <w:tcPr>
            <w:tcW w:type="dxa" w:w="4082"/>
          </w:tcPr>
          <w:p>
            <w:pPr>
              <w:spacing w:after="20"/>
            </w:pPr>
            <w:r>
              <w:rPr>
                <w:b w:val="0"/>
                <w:color w:val="111111"/>
                <w:sz w:val="19"/>
              </w:rPr>
              <w:t>Exterior Work</w:t>
            </w:r>
          </w:p>
        </w:tc>
        <w:tc>
          <w:tcPr>
            <w:tcW w:type="dxa" w:w="1361"/>
          </w:tcPr>
          <w:p>
            <w:pPr>
              <w:spacing w:after="20"/>
            </w:pPr>
            <w:r>
              <w:rPr>
                <w:b w:val="0"/>
                <w:color w:val="111111"/>
                <w:sz w:val="19"/>
              </w:rPr>
              <w:t>—</w:t>
            </w:r>
          </w:p>
        </w:tc>
        <w:tc>
          <w:tcPr>
            <w:tcW w:type="dxa" w:w="3175"/>
          </w:tcPr>
          <w:p>
            <w:pPr>
              <w:spacing w:after="20"/>
            </w:pPr>
            <w:r>
              <w:rPr>
                <w:b w:val="0"/>
                <w:color w:val="111111"/>
                <w:sz w:val="19"/>
              </w:rPr>
              <w:t>$0.00</w:t>
            </w:r>
          </w:p>
        </w:tc>
      </w:tr>
      <w:tr>
        <w:trPr>
          <w:cantSplit/>
        </w:trPr>
        <w:tc>
          <w:tcPr>
            <w:tcW w:type="dxa" w:w="680"/>
          </w:tcPr>
          <w:p>
            <w:pPr>
              <w:spacing w:after="20"/>
            </w:pPr>
            <w:r>
              <w:rPr>
                <w:b w:val="0"/>
                <w:color w:val="111111"/>
                <w:sz w:val="19"/>
              </w:rPr>
              <w:t>10</w:t>
            </w:r>
          </w:p>
        </w:tc>
        <w:tc>
          <w:tcPr>
            <w:tcW w:type="dxa" w:w="4082"/>
          </w:tcPr>
          <w:p>
            <w:pPr>
              <w:spacing w:after="20"/>
            </w:pPr>
            <w:r>
              <w:rPr>
                <w:b w:val="0"/>
                <w:color w:val="111111"/>
                <w:sz w:val="19"/>
              </w:rPr>
              <w:t>Final Handover</w:t>
            </w:r>
          </w:p>
        </w:tc>
        <w:tc>
          <w:tcPr>
            <w:tcW w:type="dxa" w:w="1361"/>
          </w:tcPr>
          <w:p>
            <w:pPr>
              <w:spacing w:after="20"/>
            </w:pPr>
            <w:r>
              <w:rPr>
                <w:b w:val="0"/>
                <w:color w:val="111111"/>
                <w:sz w:val="19"/>
              </w:rPr>
              <w:t>5%</w:t>
            </w:r>
          </w:p>
        </w:tc>
        <w:tc>
          <w:tcPr>
            <w:tcW w:type="dxa" w:w="3175"/>
          </w:tcPr>
          <w:p>
            <w:pPr>
              <w:spacing w:after="20"/>
            </w:pPr>
            <w:r>
              <w:rPr>
                <w:b w:val="0"/>
                <w:color w:val="111111"/>
                <w:sz w:val="19"/>
              </w:rPr>
              <w:t>$3,124.50</w:t>
            </w:r>
          </w:p>
        </w:tc>
      </w:tr>
      <w:tr>
        <w:trPr>
          <w:cantSplit/>
        </w:trPr>
        <w:tc>
          <w:tcPr>
            <w:tcW w:type="dxa" w:w="680"/>
          </w:tcPr>
          <w:p>
            <w:pPr>
              <w:spacing w:after="20"/>
            </w:pPr>
          </w:p>
        </w:tc>
        <w:tc>
          <w:tcPr>
            <w:tcW w:type="dxa" w:w="4082"/>
          </w:tcPr>
          <w:p>
            <w:pPr>
              <w:spacing w:after="20"/>
            </w:pPr>
            <w:r>
              <w:rPr>
                <w:b w:val="0"/>
                <w:color w:val="111111"/>
                <w:sz w:val="19"/>
              </w:rPr>
              <w:t>Permit fee</w:t>
            </w:r>
          </w:p>
        </w:tc>
        <w:tc>
          <w:tcPr>
            <w:tcW w:type="dxa" w:w="1361"/>
          </w:tcPr>
          <w:p>
            <w:pPr>
              <w:spacing w:after="20"/>
            </w:pPr>
            <w:r>
              <w:rPr>
                <w:b w:val="0"/>
                <w:color w:val="111111"/>
                <w:sz w:val="19"/>
              </w:rPr>
              <w:t>1%</w:t>
            </w:r>
          </w:p>
        </w:tc>
        <w:tc>
          <w:tcPr>
            <w:tcW w:type="dxa" w:w="3175"/>
          </w:tcPr>
          <w:p>
            <w:pPr>
              <w:spacing w:after="20"/>
            </w:pPr>
            <w:r>
              <w:rPr>
                <w:b w:val="0"/>
                <w:color w:val="111111"/>
                <w:sz w:val="19"/>
              </w:rPr>
              <w:t>$624.90</w:t>
            </w:r>
          </w:p>
        </w:tc>
      </w:tr>
      <w:tr>
        <w:trPr>
          <w:cantSplit/>
        </w:trPr>
        <w:tc>
          <w:tcPr>
            <w:tcW w:type="dxa" w:w="680"/>
          </w:tcPr>
          <w:p>
            <w:pPr>
              <w:spacing w:after="20"/>
            </w:pPr>
          </w:p>
        </w:tc>
        <w:tc>
          <w:tcPr>
            <w:tcW w:type="dxa" w:w="4082"/>
          </w:tcPr>
          <w:p>
            <w:pPr>
              <w:spacing w:after="20"/>
            </w:pPr>
            <w:r>
              <w:rPr>
                <w:b w:val="0"/>
                <w:color w:val="111111"/>
                <w:sz w:val="19"/>
              </w:rPr>
              <w:t>Professional fee</w:t>
            </w:r>
          </w:p>
        </w:tc>
        <w:tc>
          <w:tcPr>
            <w:tcW w:type="dxa" w:w="1361"/>
          </w:tcPr>
          <w:p>
            <w:pPr>
              <w:spacing w:after="20"/>
            </w:pPr>
            <w:r>
              <w:rPr>
                <w:b w:val="0"/>
                <w:color w:val="111111"/>
                <w:sz w:val="19"/>
              </w:rPr>
              <w:t>flat</w:t>
            </w:r>
          </w:p>
        </w:tc>
        <w:tc>
          <w:tcPr>
            <w:tcW w:type="dxa" w:w="3175"/>
          </w:tcPr>
          <w:p>
            <w:pPr>
              <w:spacing w:after="20"/>
            </w:pPr>
            <w:r>
              <w:rPr>
                <w:b w:val="0"/>
                <w:color w:val="111111"/>
                <w:sz w:val="19"/>
              </w:rPr>
              <w:t>$583.33</w:t>
            </w:r>
          </w:p>
        </w:tc>
      </w:tr>
      <w:tr>
        <w:trPr>
          <w:cantSplit/>
        </w:trPr>
        <w:tc>
          <w:tcPr>
            <w:tcW w:type="dxa" w:w="680"/>
          </w:tcPr>
          <w:p>
            <w:pPr>
              <w:spacing w:after="20"/>
            </w:pPr>
          </w:p>
        </w:tc>
        <w:tc>
          <w:tcPr>
            <w:tcW w:type="dxa" w:w="4082"/>
          </w:tcPr>
          <w:p>
            <w:pPr>
              <w:spacing w:after="20"/>
            </w:pPr>
            <w:r>
              <w:rPr>
                <w:b/>
                <w:color w:val="111111"/>
                <w:sz w:val="19"/>
              </w:rPr>
              <w:t>Total the client pays</w:t>
            </w:r>
          </w:p>
        </w:tc>
        <w:tc>
          <w:tcPr>
            <w:tcW w:type="dxa" w:w="1361"/>
          </w:tcPr>
          <w:p>
            <w:pPr>
              <w:spacing w:after="20"/>
            </w:pPr>
          </w:p>
        </w:tc>
        <w:tc>
          <w:tcPr>
            <w:tcW w:type="dxa" w:w="3175"/>
          </w:tcPr>
          <w:p>
            <w:pPr>
              <w:spacing w:after="20"/>
            </w:pPr>
            <w:r>
              <w:rPr>
                <w:b/>
                <w:color w:val="111111"/>
                <w:sz w:val="19"/>
              </w:rPr>
              <w:t>$65,698.23</w:t>
            </w:r>
          </w:p>
        </w:tc>
      </w:tr>
    </w:tbl>
    <w:p>
      <w:pPr>
        <w:spacing w:after="40"/>
      </w:pPr>
    </w:p>
    <w:p>
      <w:pPr>
        <w:spacing w:after="120"/>
      </w:pPr>
      <w:r>
        <w:rPr>
          <w:b w:val="0"/>
          <w:color w:val="666666"/>
          <w:sz w:val="20"/>
        </w:rPr>
        <w:t>The seven charged stages add to $62,490.00 — the build cost exactly. Add the design fee at stage 2, then the permit and professional fees as their own lines, and you have the $65,698.23 the client sees.</w:t>
      </w:r>
    </w:p>
    <w:p>
      <w:pPr>
        <w:keepNext/>
        <w:spacing w:before="240" w:after="60"/>
      </w:pPr>
      <w:r>
        <w:rPr>
          <w:b/>
          <w:color w:val="111111"/>
          <w:sz w:val="25"/>
        </w:rPr>
        <w:t>Review 1  —  Do those stage percentages match how money is really spent?</w:t>
      </w:r>
    </w:p>
    <w:p>
      <w:pPr>
        <w:spacing w:after="60"/>
      </w:pPr>
      <w:r>
        <w:rPr>
          <w:b w:val="0"/>
          <w:color w:val="111111"/>
          <w:sz w:val="20"/>
        </w:rPr>
        <w:t>This weighting came from Jalla, not from your documents. It decides how much a client hands over at each point in the build.</w:t>
      </w:r>
    </w:p>
    <w:p>
      <w:pPr>
        <w:spacing w:after="60"/>
      </w:pPr>
      <w:r>
        <w:rPr>
          <w:b w:val="0"/>
          <w:color w:val="111111"/>
          <w:sz w:val="20"/>
        </w:rPr>
        <w:t>Getting it wrong is not a rounding problem. Too little early and a contractor cannot buy materials to start; too much early and the client has paid for work that has not happened, which is the exact risk Groundwork exists to remove.</w:t>
      </w:r>
    </w:p>
    <w:p>
      <w:pPr>
        <w:spacing w:after="60"/>
      </w:pPr>
      <w:r>
        <w:rPr>
          <w:b w:val="0"/>
          <w:color w:val="111111"/>
          <w:sz w:val="20"/>
        </w:rPr>
        <w:t>The seven charged stages are: site preparation 2, foundation 8, structure and walls 30, roofing 8, electrical and plumbing 17, finishing 30, final handover 5.</w:t>
      </w:r>
    </w:p>
    <w:p>
      <w:pPr>
        <w:spacing w:after="40"/>
      </w:pPr>
      <w:r>
        <w:rPr>
          <w:b/>
          <w:color w:val="111111"/>
          <w:sz w:val="20"/>
        </w:rPr>
        <w:t>What we need from you</w:t>
      </w:r>
    </w:p>
    <w:p>
      <w:r>
        <w:rPr>
          <w:b/>
          <w:color w:val="111111"/>
          <w:sz w:val="21"/>
        </w:rPr>
        <w:t>Does that spread look right for a Cameroonian residential build? If not, what would you change it to — the seven need to total 100.</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p>
            <w:pPr>
              <w:spacing w:after="0"/>
            </w:pPr>
          </w:p>
        </w:tc>
      </w:tr>
    </w:tbl>
    <w:p>
      <w:pPr>
        <w:spacing w:after="80"/>
      </w:pPr>
    </w:p>
    <w:p>
      <w:pPr>
        <w:keepNext/>
        <w:spacing w:before="240" w:after="60"/>
      </w:pPr>
      <w:r>
        <w:rPr>
          <w:b/>
          <w:color w:val="111111"/>
          <w:sz w:val="25"/>
        </w:rPr>
        <w:t>Review 2  —  Is 1% of the build a fair figure for the permit?</w:t>
      </w:r>
    </w:p>
    <w:p>
      <w:pPr>
        <w:spacing w:after="60"/>
      </w:pPr>
      <w:r>
        <w:rPr>
          <w:b w:val="0"/>
          <w:color w:val="111111"/>
          <w:sz w:val="20"/>
        </w:rPr>
        <w:t>We charge the client 1% of the construction cost to cover planning approval, the building permit and lands registry.</w:t>
      </w:r>
    </w:p>
    <w:p>
      <w:pPr>
        <w:spacing w:after="60"/>
      </w:pPr>
      <w:r>
        <w:rPr>
          <w:b w:val="0"/>
          <w:color w:val="111111"/>
          <w:sz w:val="20"/>
        </w:rPr>
        <w:t>On the worked example that is $624.90, or roughly 375,000 XAF.</w:t>
      </w:r>
    </w:p>
    <w:p>
      <w:pPr>
        <w:spacing w:after="40"/>
      </w:pPr>
      <w:r>
        <w:rPr>
          <w:b/>
          <w:color w:val="111111"/>
          <w:sz w:val="20"/>
        </w:rPr>
        <w:t>What we need from you</w:t>
      </w:r>
    </w:p>
    <w:p>
      <w:r>
        <w:rPr>
          <w:b/>
          <w:color w:val="111111"/>
          <w:sz w:val="21"/>
        </w:rPr>
        <w:t>Is that about right in Cameroon, and does it vary much by city or by the size of the building?</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p>
            <w:pPr>
              <w:spacing w:after="0"/>
            </w:pPr>
          </w:p>
        </w:tc>
      </w:tr>
    </w:tbl>
    <w:p>
      <w:pPr>
        <w:spacing w:after="80"/>
      </w:pPr>
    </w:p>
    <w:p>
      <w:pPr>
        <w:pageBreakBefore/>
        <w:spacing w:before="40" w:after="140"/>
        <w:pBdr>
          <w:bottom w:val="single" w:sz="8" w:space="3" w:color="111111"/>
        </w:pBdr>
      </w:pPr>
      <w:r>
        <w:rPr>
          <w:b/>
          <w:color w:val="111111"/>
          <w:sz w:val="30"/>
        </w:rPr>
        <w:t>Section A  —  Figures in the documents we could not read</w:t>
      </w:r>
    </w:p>
    <w:p>
      <w:pPr>
        <w:spacing w:after="120"/>
      </w:pPr>
      <w:r>
        <w:rPr>
          <w:b w:val="0"/>
          <w:color w:val="111111"/>
          <w:sz w:val="21"/>
        </w:rPr>
        <w:t>These five are places where a quantity in one document sits far outside the range of the other three. In each case we suspect a unit or a scope difference rather than an error, but we cannot tell which.</w:t>
      </w:r>
    </w:p>
    <w:p>
      <w:pPr>
        <w:keepNext/>
        <w:spacing w:before="240" w:after="60"/>
      </w:pPr>
      <w:r>
        <w:rPr>
          <w:b/>
          <w:color w:val="111111"/>
          <w:sz w:val="25"/>
        </w:rPr>
        <w:t>Question 1  —  Roof timber on the Rose document</w:t>
      </w:r>
    </w:p>
    <w:p>
      <w:pPr>
        <w:spacing w:after="40"/>
      </w:pPr>
      <w:r>
        <w:rPr>
          <w:b/>
          <w:color w:val="111111"/>
          <w:sz w:val="20"/>
        </w:rPr>
        <w:t>What your document shows</w:t>
      </w:r>
    </w:p>
    <w:p>
      <w:pPr>
        <w:spacing w:after="60"/>
      </w:pPr>
      <w:r>
        <w:rPr>
          <w:b w:val="0"/>
          <w:color w:val="111111"/>
          <w:sz w:val="20"/>
        </w:rPr>
        <w:t xml:space="preserve">Item 501 lists </w:t>
      </w:r>
      <w:r>
        <w:rPr>
          <w:b/>
          <w:color w:val="111111"/>
          <w:sz w:val="20"/>
        </w:rPr>
        <w:t>806.20 m³</w:t>
      </w:r>
      <w:r>
        <w:rPr>
          <w:b w:val="0"/>
          <w:color w:val="111111"/>
          <w:sz w:val="20"/>
        </w:rPr>
        <w:t xml:space="preserve"> of treated timber, and item 502 a further </w:t>
      </w:r>
      <w:r>
        <w:rPr>
          <w:b/>
          <w:color w:val="111111"/>
          <w:sz w:val="20"/>
        </w:rPr>
        <w:t>520 m³</w:t>
      </w:r>
      <w:r>
        <w:rPr>
          <w:b w:val="0"/>
          <w:color w:val="111111"/>
          <w:sz w:val="20"/>
        </w:rPr>
        <w:t>, on a 125 m² house. Taken literally that is roughly 500 tonnes of wood.</w:t>
      </w:r>
    </w:p>
    <w:p>
      <w:pPr>
        <w:spacing w:after="60"/>
      </w:pPr>
      <w:r>
        <w:rPr>
          <w:b w:val="0"/>
          <w:color w:val="111111"/>
          <w:sz w:val="20"/>
        </w:rPr>
        <w:t>The same items in your other three documents are between 57 and 90 m³.</w:t>
      </w:r>
    </w:p>
    <w:p>
      <w:pPr>
        <w:spacing w:after="60"/>
      </w:pPr>
      <w:r>
        <w:rPr>
          <w:b w:val="0"/>
          <w:color w:val="111111"/>
          <w:sz w:val="20"/>
        </w:rPr>
        <w:t xml:space="preserve">Roof cost works out at </w:t>
      </w:r>
      <w:r>
        <w:rPr>
          <w:b/>
          <w:color w:val="111111"/>
          <w:sz w:val="20"/>
        </w:rPr>
        <w:t>48,050 XAF per m² of footprint</w:t>
      </w:r>
      <w:r>
        <w:rPr>
          <w:b w:val="0"/>
          <w:color w:val="111111"/>
          <w:sz w:val="20"/>
        </w:rPr>
        <w:t xml:space="preserve"> here, against 5,202 / 6,246 / 9,804 in the others.</w:t>
      </w:r>
    </w:p>
    <w:p>
      <w:pPr>
        <w:spacing w:after="40"/>
      </w:pPr>
      <w:r>
        <w:rPr>
          <w:b/>
          <w:color w:val="111111"/>
          <w:sz w:val="20"/>
        </w:rPr>
        <w:t>What we have assumed in the meantime</w:t>
      </w:r>
    </w:p>
    <w:p>
      <w:pPr>
        <w:spacing w:after="80"/>
      </w:pPr>
      <w:r>
        <w:rPr>
          <w:b w:val="0"/>
          <w:color w:val="111111"/>
          <w:sz w:val="20"/>
        </w:rPr>
        <w:t>We treat this figure as an outlier and price a pitched roof at about 20,000 XAF per m² of footprint from first principles. That is a large part of why our estimate reads 14.6% below your Rose total.</w:t>
      </w:r>
    </w:p>
    <w:p>
      <w:pPr>
        <w:spacing w:after="40"/>
      </w:pPr>
      <w:r>
        <w:rPr>
          <w:b/>
          <w:color w:val="111111"/>
          <w:sz w:val="20"/>
        </w:rPr>
        <w:t>What we need from you</w:t>
      </w:r>
    </w:p>
    <w:p>
      <w:r>
        <w:rPr>
          <w:b/>
          <w:color w:val="111111"/>
          <w:sz w:val="21"/>
        </w:rPr>
        <w:t>Is 806.20 linear metres, or board feet, recorded in a column headed m³?</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2  —  Roof sheeting on the Buea document</w:t>
      </w:r>
    </w:p>
    <w:p>
      <w:pPr>
        <w:spacing w:after="40"/>
      </w:pPr>
      <w:r>
        <w:rPr>
          <w:b/>
          <w:color w:val="111111"/>
          <w:sz w:val="20"/>
        </w:rPr>
        <w:t>What your document shows</w:t>
      </w:r>
    </w:p>
    <w:p>
      <w:pPr>
        <w:spacing w:after="60"/>
      </w:pPr>
      <w:r>
        <w:rPr>
          <w:b w:val="0"/>
          <w:color w:val="111111"/>
          <w:sz w:val="20"/>
        </w:rPr>
        <w:t xml:space="preserve">Item 503 lists </w:t>
      </w:r>
      <w:r>
        <w:rPr>
          <w:b/>
          <w:color w:val="111111"/>
          <w:sz w:val="20"/>
        </w:rPr>
        <w:t>42.67 m²</w:t>
      </w:r>
      <w:r>
        <w:rPr>
          <w:b w:val="0"/>
          <w:color w:val="111111"/>
          <w:sz w:val="20"/>
        </w:rPr>
        <w:t xml:space="preserve"> of aluminium sheet on a </w:t>
      </w:r>
      <w:r>
        <w:rPr>
          <w:b/>
          <w:color w:val="111111"/>
          <w:sz w:val="20"/>
        </w:rPr>
        <w:t>224 m²</w:t>
      </w:r>
      <w:r>
        <w:rPr>
          <w:b w:val="0"/>
          <w:color w:val="111111"/>
          <w:sz w:val="20"/>
        </w:rPr>
        <w:t xml:space="preserve"> footprint. A roof over that footprint would normally need 250–290 m² of sheet.</w:t>
      </w:r>
    </w:p>
    <w:p>
      <w:pPr>
        <w:spacing w:after="60"/>
      </w:pPr>
      <w:r>
        <w:rPr>
          <w:b w:val="0"/>
          <w:color w:val="111111"/>
          <w:sz w:val="20"/>
        </w:rPr>
        <w:t>The document also carries a parapet line (336 m³ at 780 XAF).</w:t>
      </w:r>
    </w:p>
    <w:p>
      <w:pPr>
        <w:spacing w:after="40"/>
      </w:pPr>
      <w:r>
        <w:rPr>
          <w:b/>
          <w:color w:val="111111"/>
          <w:sz w:val="20"/>
        </w:rPr>
        <w:t>What we have assumed in the meantime</w:t>
      </w:r>
    </w:p>
    <w:p>
      <w:pPr>
        <w:spacing w:after="80"/>
      </w:pPr>
      <w:r>
        <w:rPr>
          <w:b w:val="0"/>
          <w:color w:val="111111"/>
          <w:sz w:val="20"/>
        </w:rPr>
        <w:t>We have read this as a flat concrete roof where only a small canopy is sheeted, because of the parapet line.</w:t>
      </w:r>
    </w:p>
    <w:p>
      <w:pPr>
        <w:spacing w:after="40"/>
      </w:pPr>
      <w:r>
        <w:rPr>
          <w:b/>
          <w:color w:val="111111"/>
          <w:sz w:val="20"/>
        </w:rPr>
        <w:t>What we need from you</w:t>
      </w:r>
    </w:p>
    <w:p>
      <w:r>
        <w:rPr>
          <w:b/>
          <w:color w:val="111111"/>
          <w:sz w:val="21"/>
        </w:rPr>
        <w:t>Is that right, or is a roofing section missing from the file?</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3  —  How many floors is Mpangou?</w:t>
      </w:r>
    </w:p>
    <w:p>
      <w:pPr>
        <w:spacing w:after="40"/>
      </w:pPr>
      <w:r>
        <w:rPr>
          <w:b/>
          <w:color w:val="111111"/>
          <w:sz w:val="20"/>
        </w:rPr>
        <w:t>What your document shows</w:t>
      </w:r>
    </w:p>
    <w:p>
      <w:pPr>
        <w:spacing w:after="60"/>
      </w:pPr>
      <w:r>
        <w:rPr>
          <w:b w:val="0"/>
          <w:color w:val="111111"/>
          <w:sz w:val="20"/>
        </w:rPr>
        <w:t xml:space="preserve">The section is headed </w:t>
      </w:r>
      <w:r>
        <w:rPr>
          <w:b/>
          <w:color w:val="111111"/>
          <w:sz w:val="20"/>
        </w:rPr>
        <w:t>“FIRST TILL 3RD FLOOR ELEVATION”</w:t>
      </w:r>
      <w:r>
        <w:rPr>
          <w:b w:val="0"/>
          <w:color w:val="111111"/>
          <w:sz w:val="20"/>
        </w:rPr>
        <w:t xml:space="preserve"> and the file is titled G+3.</w:t>
      </w:r>
    </w:p>
    <w:p>
      <w:pPr>
        <w:spacing w:after="60"/>
      </w:pPr>
      <w:r>
        <w:rPr>
          <w:b w:val="0"/>
          <w:color w:val="111111"/>
          <w:sz w:val="20"/>
        </w:rPr>
        <w:t xml:space="preserve">But the section total of 24,514,368 is exactly </w:t>
      </w:r>
      <w:r>
        <w:rPr>
          <w:b/>
          <w:color w:val="111111"/>
          <w:sz w:val="20"/>
        </w:rPr>
        <w:t>four times</w:t>
      </w:r>
      <w:r>
        <w:rPr>
          <w:b w:val="0"/>
          <w:color w:val="111111"/>
          <w:sz w:val="20"/>
        </w:rPr>
        <w:t xml:space="preserve"> one floor’s line items (6,128,592). In your other three documents the section total is exactly one times its line items.</w:t>
      </w:r>
    </w:p>
    <w:p>
      <w:pPr>
        <w:spacing w:after="40"/>
      </w:pPr>
      <w:r>
        <w:rPr>
          <w:b/>
          <w:color w:val="111111"/>
          <w:sz w:val="20"/>
        </w:rPr>
        <w:t>What we have assumed in the meantime</w:t>
      </w:r>
    </w:p>
    <w:p>
      <w:pPr>
        <w:spacing w:after="80"/>
      </w:pPr>
      <w:r>
        <w:rPr>
          <w:b w:val="0"/>
          <w:color w:val="111111"/>
          <w:sz w:val="20"/>
        </w:rPr>
        <w:t>We have taken it as stated in the title. If it is actually four upper floors, the per-floor uplift we derive changes from 20.6% to 15.4%, and this is a direct cause of our +52.1% on this document. It matters more than it did in August: the slab correction above is charged per upper floor, so the floor count decides how many slabs we price.</w:t>
      </w:r>
    </w:p>
    <w:p>
      <w:pPr>
        <w:spacing w:after="40"/>
      </w:pPr>
      <w:r>
        <w:rPr>
          <w:b/>
          <w:color w:val="111111"/>
          <w:sz w:val="20"/>
        </w:rPr>
        <w:t>What we need from you</w:t>
      </w:r>
    </w:p>
    <w:p>
      <w:r>
        <w:rPr>
          <w:b/>
          <w:color w:val="111111"/>
          <w:sz w:val="21"/>
        </w:rPr>
        <w:t>Is Mpangou three upper floors, or four?</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4  —  The Mpangou foundation</w:t>
      </w:r>
    </w:p>
    <w:p>
      <w:pPr>
        <w:spacing w:after="40"/>
      </w:pPr>
      <w:r>
        <w:rPr>
          <w:b/>
          <w:color w:val="111111"/>
          <w:sz w:val="20"/>
        </w:rPr>
        <w:t>What your document shows</w:t>
      </w:r>
    </w:p>
    <w:p>
      <w:pPr>
        <w:spacing w:after="60"/>
      </w:pPr>
      <w:r>
        <w:rPr>
          <w:b w:val="0"/>
          <w:color w:val="111111"/>
          <w:sz w:val="20"/>
        </w:rPr>
        <w:t>Against document 3, on the same 144 m² footprint and half the height:</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402"/>
        <w:gridCol w:w="2041"/>
        <w:gridCol w:w="2041"/>
        <w:gridCol w:w="1814"/>
      </w:tblGrid>
      <w:tr>
        <w:trPr>
          <w:cantSplit/>
          <w:tblHeader w:val="true"/>
        </w:trPr>
        <w:tc>
          <w:tcPr>
            <w:tcW w:type="dxa" w:w="3402"/>
            <w:shd w:fill="EDEDED"/>
          </w:tcPr>
          <w:p>
            <w:pPr>
              <w:spacing w:after="20"/>
            </w:pPr>
            <w:r>
              <w:rPr>
                <w:b/>
                <w:sz w:val="19"/>
              </w:rPr>
              <w:t>Item</w:t>
            </w:r>
          </w:p>
        </w:tc>
        <w:tc>
          <w:tcPr>
            <w:tcW w:type="dxa" w:w="2041"/>
            <w:shd w:fill="EDEDED"/>
          </w:tcPr>
          <w:p>
            <w:pPr>
              <w:spacing w:after="20"/>
            </w:pPr>
            <w:r>
              <w:rPr>
                <w:b/>
                <w:sz w:val="19"/>
              </w:rPr>
              <w:t>Mpangou (G+3)</w:t>
            </w:r>
          </w:p>
        </w:tc>
        <w:tc>
          <w:tcPr>
            <w:tcW w:type="dxa" w:w="2041"/>
            <w:shd w:fill="EDEDED"/>
          </w:tcPr>
          <w:p>
            <w:pPr>
              <w:spacing w:after="20"/>
            </w:pPr>
            <w:r>
              <w:rPr>
                <w:b/>
                <w:sz w:val="19"/>
              </w:rPr>
              <w:t>Naka (G+1)</w:t>
            </w:r>
          </w:p>
        </w:tc>
        <w:tc>
          <w:tcPr>
            <w:tcW w:type="dxa" w:w="1814"/>
            <w:shd w:fill="EDEDED"/>
          </w:tcPr>
          <w:p>
            <w:pPr>
              <w:spacing w:after="20"/>
            </w:pPr>
            <w:r>
              <w:rPr>
                <w:b/>
                <w:sz w:val="19"/>
              </w:rPr>
              <w:t>Ratio</w:t>
            </w:r>
          </w:p>
        </w:tc>
      </w:tr>
      <w:tr>
        <w:trPr>
          <w:cantSplit/>
        </w:trPr>
        <w:tc>
          <w:tcPr>
            <w:tcW w:type="dxa" w:w="3402"/>
          </w:tcPr>
          <w:p>
            <w:pPr>
              <w:spacing w:after="20"/>
            </w:pPr>
            <w:r>
              <w:rPr>
                <w:b w:val="0"/>
                <w:color w:val="111111"/>
                <w:sz w:val="19"/>
              </w:rPr>
              <w:t>Excavation</w:t>
            </w:r>
          </w:p>
        </w:tc>
        <w:tc>
          <w:tcPr>
            <w:tcW w:type="dxa" w:w="2041"/>
          </w:tcPr>
          <w:p>
            <w:pPr>
              <w:spacing w:after="20"/>
            </w:pPr>
            <w:r>
              <w:rPr>
                <w:b w:val="0"/>
                <w:color w:val="111111"/>
                <w:sz w:val="19"/>
              </w:rPr>
              <w:t>40.32 m³</w:t>
            </w:r>
          </w:p>
        </w:tc>
        <w:tc>
          <w:tcPr>
            <w:tcW w:type="dxa" w:w="2041"/>
          </w:tcPr>
          <w:p>
            <w:pPr>
              <w:spacing w:after="20"/>
            </w:pPr>
            <w:r>
              <w:rPr>
                <w:b w:val="0"/>
                <w:color w:val="111111"/>
                <w:sz w:val="19"/>
              </w:rPr>
              <w:t>112.32 m³</w:t>
            </w:r>
          </w:p>
        </w:tc>
        <w:tc>
          <w:tcPr>
            <w:tcW w:type="dxa" w:w="1814"/>
          </w:tcPr>
          <w:p>
            <w:pPr>
              <w:spacing w:after="20"/>
            </w:pPr>
            <w:r>
              <w:rPr>
                <w:b w:val="0"/>
                <w:color w:val="111111"/>
                <w:sz w:val="19"/>
              </w:rPr>
              <w:t>0.36×</w:t>
            </w:r>
          </w:p>
        </w:tc>
      </w:tr>
      <w:tr>
        <w:trPr>
          <w:cantSplit/>
        </w:trPr>
        <w:tc>
          <w:tcPr>
            <w:tcW w:type="dxa" w:w="3402"/>
          </w:tcPr>
          <w:p>
            <w:pPr>
              <w:spacing w:after="20"/>
            </w:pPr>
            <w:r>
              <w:rPr>
                <w:b w:val="0"/>
                <w:color w:val="111111"/>
                <w:sz w:val="19"/>
              </w:rPr>
              <w:t>Reinforced concrete footings (204)</w:t>
            </w:r>
          </w:p>
        </w:tc>
        <w:tc>
          <w:tcPr>
            <w:tcW w:type="dxa" w:w="2041"/>
          </w:tcPr>
          <w:p>
            <w:pPr>
              <w:spacing w:after="20"/>
            </w:pPr>
            <w:r>
              <w:rPr>
                <w:b w:val="0"/>
                <w:color w:val="111111"/>
                <w:sz w:val="19"/>
              </w:rPr>
              <w:t>0.69 m³</w:t>
            </w:r>
          </w:p>
        </w:tc>
        <w:tc>
          <w:tcPr>
            <w:tcW w:type="dxa" w:w="2041"/>
          </w:tcPr>
          <w:p>
            <w:pPr>
              <w:spacing w:after="20"/>
            </w:pPr>
            <w:r>
              <w:rPr>
                <w:b w:val="0"/>
                <w:color w:val="111111"/>
                <w:sz w:val="19"/>
              </w:rPr>
              <w:t>11.66 m³</w:t>
            </w:r>
          </w:p>
        </w:tc>
        <w:tc>
          <w:tcPr>
            <w:tcW w:type="dxa" w:w="1814"/>
          </w:tcPr>
          <w:p>
            <w:pPr>
              <w:spacing w:after="20"/>
            </w:pPr>
            <w:r>
              <w:rPr>
                <w:b/>
                <w:color w:val="111111"/>
                <w:sz w:val="19"/>
              </w:rPr>
              <w:t>0.06×</w:t>
            </w:r>
          </w:p>
        </w:tc>
      </w:tr>
      <w:tr>
        <w:trPr>
          <w:cantSplit/>
        </w:trPr>
        <w:tc>
          <w:tcPr>
            <w:tcW w:type="dxa" w:w="3402"/>
          </w:tcPr>
          <w:p>
            <w:pPr>
              <w:spacing w:after="20"/>
            </w:pPr>
            <w:r>
              <w:rPr>
                <w:b w:val="0"/>
                <w:color w:val="111111"/>
                <w:sz w:val="19"/>
              </w:rPr>
              <w:t>Foundation beams (206)</w:t>
            </w:r>
          </w:p>
        </w:tc>
        <w:tc>
          <w:tcPr>
            <w:tcW w:type="dxa" w:w="2041"/>
          </w:tcPr>
          <w:p>
            <w:pPr>
              <w:spacing w:after="20"/>
            </w:pPr>
            <w:r>
              <w:rPr>
                <w:b w:val="0"/>
                <w:color w:val="111111"/>
                <w:sz w:val="19"/>
              </w:rPr>
              <w:t>2.16 m³</w:t>
            </w:r>
          </w:p>
        </w:tc>
        <w:tc>
          <w:tcPr>
            <w:tcW w:type="dxa" w:w="2041"/>
          </w:tcPr>
          <w:p>
            <w:pPr>
              <w:spacing w:after="20"/>
            </w:pPr>
            <w:r>
              <w:rPr>
                <w:b w:val="0"/>
                <w:color w:val="111111"/>
                <w:sz w:val="19"/>
              </w:rPr>
              <w:t>6.48 m³</w:t>
            </w:r>
          </w:p>
        </w:tc>
        <w:tc>
          <w:tcPr>
            <w:tcW w:type="dxa" w:w="1814"/>
          </w:tcPr>
          <w:p>
            <w:pPr>
              <w:spacing w:after="20"/>
            </w:pPr>
            <w:r>
              <w:rPr>
                <w:b w:val="0"/>
                <w:color w:val="111111"/>
                <w:sz w:val="19"/>
              </w:rPr>
              <w:t>0.33×</w:t>
            </w:r>
          </w:p>
        </w:tc>
      </w:tr>
      <w:tr>
        <w:trPr>
          <w:cantSplit/>
        </w:trPr>
        <w:tc>
          <w:tcPr>
            <w:tcW w:type="dxa" w:w="3402"/>
          </w:tcPr>
          <w:p>
            <w:pPr>
              <w:spacing w:after="20"/>
            </w:pPr>
            <w:r>
              <w:rPr>
                <w:b w:val="0"/>
                <w:color w:val="111111"/>
                <w:sz w:val="19"/>
              </w:rPr>
              <w:t>Preliminaries (100)</w:t>
            </w:r>
          </w:p>
        </w:tc>
        <w:tc>
          <w:tcPr>
            <w:tcW w:type="dxa" w:w="2041"/>
          </w:tcPr>
          <w:p>
            <w:pPr>
              <w:spacing w:after="20"/>
            </w:pPr>
            <w:r>
              <w:rPr>
                <w:b w:val="0"/>
                <w:color w:val="111111"/>
                <w:sz w:val="19"/>
              </w:rPr>
              <w:t>170,000</w:t>
            </w:r>
          </w:p>
        </w:tc>
        <w:tc>
          <w:tcPr>
            <w:tcW w:type="dxa" w:w="2041"/>
          </w:tcPr>
          <w:p>
            <w:pPr>
              <w:spacing w:after="20"/>
            </w:pPr>
            <w:r>
              <w:rPr>
                <w:b w:val="0"/>
                <w:color w:val="111111"/>
                <w:sz w:val="19"/>
              </w:rPr>
              <w:t>830,000</w:t>
            </w:r>
          </w:p>
        </w:tc>
        <w:tc>
          <w:tcPr>
            <w:tcW w:type="dxa" w:w="1814"/>
          </w:tcPr>
          <w:p>
            <w:pPr>
              <w:spacing w:after="20"/>
            </w:pPr>
            <w:r>
              <w:rPr>
                <w:b w:val="0"/>
                <w:color w:val="111111"/>
                <w:sz w:val="19"/>
              </w:rPr>
              <w:t>0.20×</w:t>
            </w:r>
          </w:p>
        </w:tc>
      </w:tr>
    </w:tbl>
    <w:p>
      <w:pPr>
        <w:spacing w:after="40"/>
      </w:pPr>
    </w:p>
    <w:p>
      <w:pPr>
        <w:spacing w:after="40"/>
      </w:pPr>
      <w:r>
        <w:rPr>
          <w:b/>
          <w:color w:val="111111"/>
          <w:sz w:val="20"/>
        </w:rPr>
        <w:t>What we have assumed in the meantime</w:t>
      </w:r>
    </w:p>
    <w:p>
      <w:pPr>
        <w:spacing w:after="80"/>
      </w:pPr>
      <w:r>
        <w:rPr>
          <w:b w:val="0"/>
          <w:color w:val="111111"/>
          <w:sz w:val="20"/>
        </w:rPr>
        <w:t>We have excluded this document from our foundation calibration entirely, because a four-storey building needs larger footings than a two-storey one on the same footprint, not sixteen times smaller.</w:t>
      </w:r>
    </w:p>
    <w:p>
      <w:pPr>
        <w:spacing w:after="40"/>
      </w:pPr>
      <w:r>
        <w:rPr>
          <w:b/>
          <w:color w:val="111111"/>
          <w:sz w:val="20"/>
        </w:rPr>
        <w:t>What we need from you</w:t>
      </w:r>
    </w:p>
    <w:p>
      <w:r>
        <w:rPr>
          <w:b/>
          <w:color w:val="111111"/>
          <w:sz w:val="21"/>
        </w:rPr>
        <w:t>Was this foundation designed for a different structure, or is the schedule incomplete?</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7  —  Painting scope on Mpangou</w:t>
      </w:r>
    </w:p>
    <w:p>
      <w:pPr>
        <w:spacing w:after="40"/>
      </w:pPr>
      <w:r>
        <w:rPr>
          <w:b/>
          <w:color w:val="111111"/>
          <w:sz w:val="20"/>
        </w:rPr>
        <w:t>What your document shows</w:t>
      </w:r>
    </w:p>
    <w:p>
      <w:pPr>
        <w:spacing w:after="60"/>
      </w:pPr>
      <w:r>
        <w:rPr>
          <w:b w:val="0"/>
          <w:color w:val="111111"/>
          <w:sz w:val="20"/>
        </w:rPr>
        <w:t xml:space="preserve">Items 901 and 902 cover </w:t>
      </w:r>
      <w:r>
        <w:rPr>
          <w:b/>
          <w:color w:val="111111"/>
          <w:sz w:val="20"/>
        </w:rPr>
        <w:t>259.20 m²</w:t>
      </w:r>
      <w:r>
        <w:rPr>
          <w:b w:val="0"/>
          <w:color w:val="111111"/>
          <w:sz w:val="20"/>
        </w:rPr>
        <w:t>, which is one floor’s plastered area, on a four-storey building.</w:t>
      </w:r>
    </w:p>
    <w:p>
      <w:pPr>
        <w:spacing w:after="60"/>
      </w:pPr>
      <w:r>
        <w:rPr>
          <w:b w:val="0"/>
          <w:color w:val="111111"/>
          <w:sz w:val="20"/>
        </w:rPr>
        <w:t>Your other three documents paint every floor.</w:t>
      </w:r>
    </w:p>
    <w:p>
      <w:pPr>
        <w:spacing w:after="40"/>
      </w:pPr>
      <w:r>
        <w:rPr>
          <w:b/>
          <w:color w:val="111111"/>
          <w:sz w:val="20"/>
        </w:rPr>
        <w:t>What we have assumed in the meantime</w:t>
      </w:r>
    </w:p>
    <w:p>
      <w:pPr>
        <w:spacing w:after="80"/>
      </w:pPr>
      <w:r>
        <w:rPr>
          <w:b w:val="0"/>
          <w:color w:val="111111"/>
          <w:sz w:val="20"/>
        </w:rPr>
        <w:t>We paint every floor in our own calculation.</w:t>
      </w:r>
    </w:p>
    <w:p>
      <w:pPr>
        <w:spacing w:after="40"/>
      </w:pPr>
      <w:r>
        <w:rPr>
          <w:b/>
          <w:color w:val="111111"/>
          <w:sz w:val="20"/>
        </w:rPr>
        <w:t>What we need from you</w:t>
      </w:r>
    </w:p>
    <w:p>
      <w:r>
        <w:rPr>
          <w:b/>
          <w:color w:val="111111"/>
          <w:sz w:val="21"/>
        </w:rPr>
        <w:t>Should Mpangou’s painting be four times 259.20 m²?</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pageBreakBefore/>
        <w:spacing w:before="40" w:after="140"/>
        <w:pBdr>
          <w:bottom w:val="single" w:sz="8" w:space="3" w:color="111111"/>
        </w:pBdr>
      </w:pPr>
      <w:r>
        <w:rPr>
          <w:b/>
          <w:color w:val="111111"/>
          <w:sz w:val="30"/>
        </w:rPr>
        <w:t>Section B  —  Conventions we had to choose between</w:t>
      </w:r>
    </w:p>
    <w:p>
      <w:pPr>
        <w:spacing w:after="120"/>
      </w:pPr>
      <w:r>
        <w:rPr>
          <w:b w:val="0"/>
          <w:color w:val="111111"/>
          <w:sz w:val="21"/>
        </w:rPr>
        <w:t>These four are not errors in any document. They are places where your documents follow different conventions, and we had to pick one. Knowing which is standard practice would let us stop guessing.</w:t>
      </w:r>
    </w:p>
    <w:p>
      <w:pPr>
        <w:keepNext/>
        <w:spacing w:before="240" w:after="60"/>
      </w:pPr>
      <w:r>
        <w:rPr>
          <w:b/>
          <w:color w:val="111111"/>
          <w:sz w:val="25"/>
        </w:rPr>
        <w:t>Question 5  —  What unit is blockwork priced in?</w:t>
      </w:r>
    </w:p>
    <w:p>
      <w:pPr>
        <w:spacing w:after="40"/>
      </w:pPr>
      <w:r>
        <w:rPr>
          <w:b/>
          <w:color w:val="111111"/>
          <w:sz w:val="20"/>
        </w:rPr>
        <w:t>What your document shows</w:t>
      </w:r>
    </w:p>
    <w:p>
      <w:pPr>
        <w:spacing w:after="60"/>
      </w:pPr>
      <w:r>
        <w:rPr>
          <w:b w:val="0"/>
          <w:color w:val="111111"/>
          <w:sz w:val="20"/>
        </w:rPr>
        <w:t xml:space="preserve">Document 1 prices item 305 at </w:t>
      </w:r>
      <w:r>
        <w:rPr>
          <w:b/>
          <w:color w:val="111111"/>
          <w:sz w:val="20"/>
        </w:rPr>
        <w:t>7,800 XAF per m²</w:t>
      </w:r>
      <w:r>
        <w:rPr>
          <w:b w:val="0"/>
          <w:color w:val="111111"/>
          <w:sz w:val="20"/>
        </w:rPr>
        <w:t>, with quantities in m² (412.80 ground, 370 first), and its plastering is exactly twice that — both faces of the wall.</w:t>
      </w:r>
    </w:p>
    <w:p>
      <w:pPr>
        <w:spacing w:after="60"/>
      </w:pPr>
      <w:r>
        <w:rPr>
          <w:b w:val="0"/>
          <w:color w:val="111111"/>
          <w:sz w:val="20"/>
        </w:rPr>
        <w:t xml:space="preserve">Documents 2, 3 and 4 price the same item at </w:t>
      </w:r>
      <w:r>
        <w:rPr>
          <w:b/>
          <w:color w:val="111111"/>
          <w:sz w:val="20"/>
        </w:rPr>
        <w:t>1,750 XAF</w:t>
      </w:r>
      <w:r>
        <w:rPr>
          <w:b w:val="0"/>
          <w:color w:val="111111"/>
          <w:sz w:val="20"/>
        </w:rPr>
        <w:t>, against quantities of 1,456 / 936 / 312.</w:t>
      </w:r>
    </w:p>
    <w:p>
      <w:pPr>
        <w:spacing w:after="40"/>
      </w:pPr>
      <w:r>
        <w:rPr>
          <w:b/>
          <w:color w:val="111111"/>
          <w:sz w:val="20"/>
        </w:rPr>
        <w:t>What we have assumed in the meantime</w:t>
      </w:r>
    </w:p>
    <w:p>
      <w:pPr>
        <w:spacing w:after="80"/>
      </w:pPr>
      <w:r>
        <w:rPr>
          <w:b w:val="0"/>
          <w:color w:val="111111"/>
          <w:sz w:val="20"/>
        </w:rPr>
        <w:t>We have adopted the document 1 convention: per m² of wall. Neither reading reconciles with the plastered areas in the other three documents.</w:t>
      </w:r>
    </w:p>
    <w:p>
      <w:pPr>
        <w:spacing w:after="40"/>
      </w:pPr>
      <w:r>
        <w:rPr>
          <w:b/>
          <w:color w:val="111111"/>
          <w:sz w:val="20"/>
        </w:rPr>
        <w:t>What we need from you</w:t>
      </w:r>
    </w:p>
    <w:p>
      <w:r>
        <w:rPr>
          <w:b/>
          <w:color w:val="111111"/>
          <w:sz w:val="21"/>
        </w:rPr>
        <w:t>Is 1,750 XAF per block, or per m²? This now matters more than it did — contractors using Groundwork see a unit printed next to the box they are editing, and they need to know what they are pricing.</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6  —  Do documents 2 and 4 exclude internal partitions?</w:t>
      </w:r>
    </w:p>
    <w:p>
      <w:pPr>
        <w:spacing w:after="40"/>
      </w:pPr>
      <w:r>
        <w:rPr>
          <w:b/>
          <w:color w:val="111111"/>
          <w:sz w:val="20"/>
        </w:rPr>
        <w:t>What your document shows</w:t>
      </w:r>
    </w:p>
    <w:p>
      <w:pPr>
        <w:spacing w:after="60"/>
      </w:pPr>
      <w:r>
        <w:rPr>
          <w:b w:val="0"/>
          <w:color w:val="111111"/>
          <w:sz w:val="20"/>
        </w:rPr>
        <w:t>Plastered area per floor, against the external envelope counted on both faces: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1928"/>
        <w:gridCol w:w="2381"/>
        <w:gridCol w:w="2948"/>
        <w:gridCol w:w="2041"/>
      </w:tblGrid>
      <w:tr>
        <w:trPr>
          <w:cantSplit/>
          <w:tblHeader w:val="true"/>
        </w:trPr>
        <w:tc>
          <w:tcPr>
            <w:tcW w:type="dxa" w:w="1928"/>
            <w:shd w:fill="EDEDED"/>
          </w:tcPr>
          <w:p>
            <w:pPr>
              <w:spacing w:after="20"/>
            </w:pPr>
            <w:r>
              <w:rPr>
                <w:b/>
                <w:sz w:val="19"/>
              </w:rPr>
              <w:t>Document</w:t>
            </w:r>
          </w:p>
        </w:tc>
        <w:tc>
          <w:tcPr>
            <w:tcW w:type="dxa" w:w="2381"/>
            <w:shd w:fill="EDEDED"/>
          </w:tcPr>
          <w:p>
            <w:pPr>
              <w:spacing w:after="20"/>
            </w:pPr>
            <w:r>
              <w:rPr>
                <w:b/>
                <w:sz w:val="19"/>
              </w:rPr>
              <w:t>Plastered per floor</w:t>
            </w:r>
          </w:p>
        </w:tc>
        <w:tc>
          <w:tcPr>
            <w:tcW w:type="dxa" w:w="2948"/>
            <w:shd w:fill="EDEDED"/>
          </w:tcPr>
          <w:p>
            <w:pPr>
              <w:spacing w:after="20"/>
            </w:pPr>
            <w:r>
              <w:rPr>
                <w:b/>
                <w:sz w:val="19"/>
              </w:rPr>
              <w:t>External envelope, both faces</w:t>
            </w:r>
          </w:p>
        </w:tc>
        <w:tc>
          <w:tcPr>
            <w:tcW w:type="dxa" w:w="2041"/>
            <w:shd w:fill="EDEDED"/>
          </w:tcPr>
          <w:p>
            <w:pPr>
              <w:spacing w:after="20"/>
            </w:pPr>
            <w:r>
              <w:rPr>
                <w:b/>
                <w:sz w:val="19"/>
              </w:rPr>
              <w:t>Partitions included?</w:t>
            </w:r>
          </w:p>
        </w:tc>
      </w:tr>
      <w:tr>
        <w:trPr>
          <w:cantSplit/>
        </w:trPr>
        <w:tc>
          <w:tcPr>
            <w:tcW w:type="dxa" w:w="1928"/>
          </w:tcPr>
          <w:p>
            <w:pPr>
              <w:spacing w:after="20"/>
            </w:pPr>
            <w:r>
              <w:rPr>
                <w:b w:val="0"/>
                <w:color w:val="111111"/>
                <w:sz w:val="19"/>
              </w:rPr>
              <w:t>1  Rose</w:t>
            </w:r>
          </w:p>
        </w:tc>
        <w:tc>
          <w:tcPr>
            <w:tcW w:type="dxa" w:w="2381"/>
          </w:tcPr>
          <w:p>
            <w:pPr>
              <w:spacing w:after="20"/>
            </w:pPr>
            <w:r>
              <w:rPr>
                <w:b w:val="0"/>
                <w:color w:val="111111"/>
                <w:sz w:val="19"/>
              </w:rPr>
              <w:t>825.60 m²</w:t>
            </w:r>
          </w:p>
        </w:tc>
        <w:tc>
          <w:tcPr>
            <w:tcW w:type="dxa" w:w="2948"/>
          </w:tcPr>
          <w:p>
            <w:pPr>
              <w:spacing w:after="20"/>
            </w:pPr>
            <w:r>
              <w:rPr>
                <w:b w:val="0"/>
                <w:color w:val="111111"/>
                <w:sz w:val="19"/>
              </w:rPr>
              <w:t>268 m²</w:t>
            </w:r>
          </w:p>
        </w:tc>
        <w:tc>
          <w:tcPr>
            <w:tcW w:type="dxa" w:w="2041"/>
          </w:tcPr>
          <w:p>
            <w:pPr>
              <w:spacing w:after="20"/>
            </w:pPr>
            <w:r>
              <w:rPr>
                <w:b w:val="0"/>
                <w:color w:val="111111"/>
                <w:sz w:val="19"/>
              </w:rPr>
              <w:t>yes</w:t>
            </w:r>
          </w:p>
        </w:tc>
      </w:tr>
      <w:tr>
        <w:trPr>
          <w:cantSplit/>
        </w:trPr>
        <w:tc>
          <w:tcPr>
            <w:tcW w:type="dxa" w:w="1928"/>
          </w:tcPr>
          <w:p>
            <w:pPr>
              <w:spacing w:after="20"/>
            </w:pPr>
            <w:r>
              <w:rPr>
                <w:b w:val="0"/>
                <w:color w:val="111111"/>
                <w:sz w:val="19"/>
              </w:rPr>
              <w:t>3  Naka</w:t>
            </w:r>
          </w:p>
        </w:tc>
        <w:tc>
          <w:tcPr>
            <w:tcW w:type="dxa" w:w="2381"/>
          </w:tcPr>
          <w:p>
            <w:pPr>
              <w:spacing w:after="20"/>
            </w:pPr>
            <w:r>
              <w:rPr>
                <w:b w:val="0"/>
                <w:color w:val="111111"/>
                <w:sz w:val="19"/>
              </w:rPr>
              <w:t>777.60 m²</w:t>
            </w:r>
          </w:p>
        </w:tc>
        <w:tc>
          <w:tcPr>
            <w:tcW w:type="dxa" w:w="2948"/>
          </w:tcPr>
          <w:p>
            <w:pPr>
              <w:spacing w:after="20"/>
            </w:pPr>
            <w:r>
              <w:rPr>
                <w:b w:val="0"/>
                <w:color w:val="111111"/>
                <w:sz w:val="19"/>
              </w:rPr>
              <w:t>288 m²</w:t>
            </w:r>
          </w:p>
        </w:tc>
        <w:tc>
          <w:tcPr>
            <w:tcW w:type="dxa" w:w="2041"/>
          </w:tcPr>
          <w:p>
            <w:pPr>
              <w:spacing w:after="20"/>
            </w:pPr>
            <w:r>
              <w:rPr>
                <w:b w:val="0"/>
                <w:color w:val="111111"/>
                <w:sz w:val="19"/>
              </w:rPr>
              <w:t>yes</w:t>
            </w:r>
          </w:p>
        </w:tc>
      </w:tr>
      <w:tr>
        <w:trPr>
          <w:cantSplit/>
        </w:trPr>
        <w:tc>
          <w:tcPr>
            <w:tcW w:type="dxa" w:w="1928"/>
          </w:tcPr>
          <w:p>
            <w:pPr>
              <w:spacing w:after="20"/>
            </w:pPr>
            <w:r>
              <w:rPr>
                <w:b w:val="0"/>
                <w:color w:val="111111"/>
                <w:sz w:val="19"/>
              </w:rPr>
              <w:t>2  Buea</w:t>
            </w:r>
          </w:p>
        </w:tc>
        <w:tc>
          <w:tcPr>
            <w:tcW w:type="dxa" w:w="2381"/>
          </w:tcPr>
          <w:p>
            <w:pPr>
              <w:spacing w:after="20"/>
            </w:pPr>
            <w:r>
              <w:rPr>
                <w:b w:val="0"/>
                <w:color w:val="111111"/>
                <w:sz w:val="19"/>
              </w:rPr>
              <w:t>388.80 m²</w:t>
            </w:r>
          </w:p>
        </w:tc>
        <w:tc>
          <w:tcPr>
            <w:tcW w:type="dxa" w:w="2948"/>
          </w:tcPr>
          <w:p>
            <w:pPr>
              <w:spacing w:after="20"/>
            </w:pPr>
            <w:r>
              <w:rPr>
                <w:b w:val="0"/>
                <w:color w:val="111111"/>
                <w:sz w:val="19"/>
              </w:rPr>
              <w:t>360 m²</w:t>
            </w:r>
          </w:p>
        </w:tc>
        <w:tc>
          <w:tcPr>
            <w:tcW w:type="dxa" w:w="2041"/>
          </w:tcPr>
          <w:p>
            <w:pPr>
              <w:spacing w:after="20"/>
            </w:pPr>
            <w:r>
              <w:rPr>
                <w:b/>
                <w:color w:val="111111"/>
                <w:sz w:val="19"/>
              </w:rPr>
              <w:t>no</w:t>
            </w:r>
          </w:p>
        </w:tc>
      </w:tr>
      <w:tr>
        <w:trPr>
          <w:cantSplit/>
        </w:trPr>
        <w:tc>
          <w:tcPr>
            <w:tcW w:type="dxa" w:w="1928"/>
          </w:tcPr>
          <w:p>
            <w:pPr>
              <w:spacing w:after="20"/>
            </w:pPr>
            <w:r>
              <w:rPr>
                <w:b w:val="0"/>
                <w:color w:val="111111"/>
                <w:sz w:val="19"/>
              </w:rPr>
              <w:t>4  Mpangou</w:t>
            </w:r>
          </w:p>
        </w:tc>
        <w:tc>
          <w:tcPr>
            <w:tcW w:type="dxa" w:w="2381"/>
          </w:tcPr>
          <w:p>
            <w:pPr>
              <w:spacing w:after="20"/>
            </w:pPr>
            <w:r>
              <w:rPr>
                <w:b w:val="0"/>
                <w:color w:val="111111"/>
                <w:sz w:val="19"/>
              </w:rPr>
              <w:t>259.20 m²</w:t>
            </w:r>
          </w:p>
        </w:tc>
        <w:tc>
          <w:tcPr>
            <w:tcW w:type="dxa" w:w="2948"/>
          </w:tcPr>
          <w:p>
            <w:pPr>
              <w:spacing w:after="20"/>
            </w:pPr>
            <w:r>
              <w:rPr>
                <w:b w:val="0"/>
                <w:color w:val="111111"/>
                <w:sz w:val="19"/>
              </w:rPr>
              <w:t>288 m²</w:t>
            </w:r>
          </w:p>
        </w:tc>
        <w:tc>
          <w:tcPr>
            <w:tcW w:type="dxa" w:w="2041"/>
          </w:tcPr>
          <w:p>
            <w:pPr>
              <w:spacing w:after="20"/>
            </w:pPr>
            <w:r>
              <w:rPr>
                <w:b/>
                <w:color w:val="111111"/>
                <w:sz w:val="19"/>
              </w:rPr>
              <w:t>no</w:t>
            </w:r>
          </w:p>
        </w:tc>
      </w:tr>
    </w:tbl>
    <w:p>
      <w:pPr>
        <w:spacing w:after="40"/>
      </w:pPr>
    </w:p>
    <w:p>
      <w:pPr>
        <w:spacing w:after="40"/>
      </w:pPr>
      <w:r>
        <w:rPr>
          <w:b/>
          <w:color w:val="111111"/>
          <w:sz w:val="20"/>
        </w:rPr>
        <w:t>What we have assumed in the meantime</w:t>
      </w:r>
    </w:p>
    <w:p>
      <w:pPr>
        <w:spacing w:after="80"/>
      </w:pPr>
      <w:r>
        <w:rPr>
          <w:b w:val="0"/>
          <w:color w:val="111111"/>
          <w:sz w:val="20"/>
        </w:rPr>
        <w:t>We model internal partitions at 14 metres of wall per room per floor. Documents 1 and 3 imply 15.5 m and 18 m. That is most of why our estimate reads 19.3% above your Buea total.</w:t>
      </w:r>
    </w:p>
    <w:p>
      <w:pPr>
        <w:spacing w:after="40"/>
      </w:pPr>
      <w:r>
        <w:rPr>
          <w:b/>
          <w:color w:val="111111"/>
          <w:sz w:val="20"/>
        </w:rPr>
        <w:t>What we need from you</w:t>
      </w:r>
    </w:p>
    <w:p>
      <w:r>
        <w:rPr>
          <w:b/>
          <w:color w:val="111111"/>
          <w:sz w:val="21"/>
        </w:rPr>
        <w:t>Do documents 2 and 4 deliberately exclude internal partition walls, or were they omitted?</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8  —  Which specification counts as “standard”?</w:t>
      </w:r>
    </w:p>
    <w:p>
      <w:pPr>
        <w:spacing w:after="40"/>
      </w:pPr>
      <w:r>
        <w:rPr>
          <w:b/>
          <w:color w:val="111111"/>
          <w:sz w:val="20"/>
        </w:rPr>
        <w:t>What your document shows</w:t>
      </w:r>
    </w:p>
    <w:p>
      <w:pPr>
        <w:spacing w:after="60"/>
      </w:pPr>
      <w:r>
        <w:rPr>
          <w:b w:val="0"/>
          <w:color w:val="111111"/>
          <w:sz w:val="20"/>
        </w:rPr>
        <w:t>Normalised for city and floor area, shell cost per built m² runs from 112 to 232 USD across your four documents.</w:t>
      </w:r>
    </w:p>
    <w:p>
      <w:pPr>
        <w:spacing w:after="60"/>
      </w:pPr>
      <w:r>
        <w:rPr>
          <w:b w:val="0"/>
          <w:color w:val="111111"/>
          <w:sz w:val="20"/>
        </w:rPr>
        <w:t>Document 1 has ceiling staffing on both floors, two bathtubs, five mirrors and 1.5M of decoration. Documents 2 and 3 have none of those.</w:t>
      </w:r>
    </w:p>
    <w:p>
      <w:pPr>
        <w:spacing w:after="40"/>
      </w:pPr>
      <w:r>
        <w:rPr>
          <w:b/>
          <w:color w:val="111111"/>
          <w:sz w:val="20"/>
        </w:rPr>
        <w:t>What we have assumed in the meantime</w:t>
      </w:r>
    </w:p>
    <w:p>
      <w:pPr>
        <w:spacing w:after="80"/>
      </w:pPr>
      <w:r>
        <w:rPr>
          <w:b w:val="0"/>
          <w:color w:val="111111"/>
          <w:sz w:val="20"/>
        </w:rPr>
        <w:t xml:space="preserve">We classify documents 2 and 3 as standard finish and document 1 as premium, on that basis. This sets the multipliers a client sees when they choose a finish level: </w:t>
      </w:r>
      <w:r>
        <w:rPr>
          <w:b/>
          <w:color w:val="111111"/>
          <w:sz w:val="20"/>
        </w:rPr>
        <w:t>standard 1.00, premium 1.45, luxury 1.70</w:t>
      </w:r>
      <w:r>
        <w:rPr>
          <w:b w:val="0"/>
          <w:color w:val="111111"/>
          <w:sz w:val="20"/>
        </w:rPr>
        <w:t>.</w:t>
      </w:r>
    </w:p>
    <w:p>
      <w:pPr>
        <w:spacing w:after="40"/>
      </w:pPr>
      <w:r>
        <w:rPr>
          <w:b/>
          <w:color w:val="111111"/>
          <w:sz w:val="20"/>
        </w:rPr>
        <w:t>What we need from you</w:t>
      </w:r>
    </w:p>
    <w:p>
      <w:r>
        <w:rPr>
          <w:b/>
          <w:color w:val="111111"/>
          <w:sz w:val="21"/>
        </w:rPr>
        <w:t>Is that the right reading, and are those three multipliers about right?</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9  —  Is electrical a quoted package or a measured install?</w:t>
      </w:r>
    </w:p>
    <w:p>
      <w:pPr>
        <w:spacing w:after="40"/>
      </w:pPr>
      <w:r>
        <w:rPr>
          <w:b/>
          <w:color w:val="111111"/>
          <w:sz w:val="20"/>
        </w:rPr>
        <w:t>What your document shows</w:t>
      </w:r>
    </w:p>
    <w:p>
      <w:pPr>
        <w:spacing w:after="60"/>
      </w:pPr>
      <w:r>
        <w:rPr>
          <w:b w:val="0"/>
          <w:color w:val="111111"/>
          <w:sz w:val="20"/>
        </w:rPr>
        <w:t xml:space="preserve">Section 700 totals </w:t>
      </w:r>
      <w:r>
        <w:rPr>
          <w:b/>
          <w:color w:val="111111"/>
          <w:sz w:val="20"/>
        </w:rPr>
        <w:t>2,326,600 XAF in documents 1, 2 and 3 — identical to the franc</w:t>
      </w:r>
      <w:r>
        <w:rPr>
          <w:b w:val="0"/>
          <w:color w:val="111111"/>
          <w:sz w:val="20"/>
        </w:rPr>
        <w:t xml:space="preserve"> — despite those buildings having 12, 9 and 9 rooms.</w:t>
      </w:r>
    </w:p>
    <w:p>
      <w:pPr>
        <w:spacing w:after="60"/>
      </w:pPr>
      <w:r>
        <w:rPr>
          <w:b w:val="0"/>
          <w:color w:val="111111"/>
          <w:sz w:val="20"/>
        </w:rPr>
        <w:t>Section 800 (plumbing) is likewise identical in documents 2 and 3.</w:t>
      </w:r>
    </w:p>
    <w:p>
      <w:pPr>
        <w:spacing w:after="40"/>
      </w:pPr>
      <w:r>
        <w:rPr>
          <w:b/>
          <w:color w:val="111111"/>
          <w:sz w:val="20"/>
        </w:rPr>
        <w:t>What we have assumed in the meantime</w:t>
      </w:r>
    </w:p>
    <w:p>
      <w:pPr>
        <w:spacing w:after="80"/>
      </w:pPr>
      <w:r>
        <w:rPr>
          <w:b w:val="0"/>
          <w:color w:val="111111"/>
          <w:sz w:val="20"/>
        </w:rPr>
        <w:t>We scale electrical by the number of floors, with a small addition per room, so that a ten-bedroom house still prices above a two-bedroom one.</w:t>
      </w:r>
    </w:p>
    <w:p>
      <w:pPr>
        <w:spacing w:after="40"/>
      </w:pPr>
      <w:r>
        <w:rPr>
          <w:b/>
          <w:color w:val="111111"/>
          <w:sz w:val="20"/>
        </w:rPr>
        <w:t>What we need from you</w:t>
      </w:r>
    </w:p>
    <w:p>
      <w:r>
        <w:rPr>
          <w:b/>
          <w:color w:val="111111"/>
          <w:sz w:val="21"/>
        </w:rPr>
        <w:t>Are these standard packages you apply, or is the match a coincidence? If they are fixed packages we should label those lines “package — quoted” and show no quantity, rather than showing a client a measurement we did not measure.</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pageBreakBefore/>
        <w:spacing w:before="40" w:after="140"/>
        <w:pBdr>
          <w:bottom w:val="single" w:sz="8" w:space="3" w:color="111111"/>
        </w:pBdr>
      </w:pPr>
      <w:r>
        <w:rPr>
          <w:b/>
          <w:color w:val="111111"/>
          <w:sz w:val="30"/>
        </w:rPr>
        <w:t>Section C  —  New questions since we last wrote</w:t>
      </w:r>
    </w:p>
    <w:p>
      <w:pPr>
        <w:spacing w:after="120"/>
      </w:pPr>
      <w:r>
        <w:rPr>
          <w:b w:val="0"/>
          <w:color w:val="111111"/>
          <w:sz w:val="21"/>
        </w:rPr>
        <w:t>Groundwork now prints its estimate as a line-by-line bill using your item numbering, so a contractor can lay it beside a real quotation. That change surfaced these six.</w:t>
      </w:r>
    </w:p>
    <w:p>
      <w:pPr>
        <w:keepNext/>
        <w:spacing w:before="240" w:after="60"/>
      </w:pPr>
      <w:r>
        <w:rPr>
          <w:b/>
          <w:color w:val="111111"/>
          <w:sz w:val="25"/>
        </w:rPr>
        <w:t>Question 10  —  Mpangou lists no mirrors</w:t>
      </w:r>
    </w:p>
    <w:p>
      <w:pPr>
        <w:spacing w:after="40"/>
      </w:pPr>
      <w:r>
        <w:rPr>
          <w:b/>
          <w:color w:val="111111"/>
          <w:sz w:val="20"/>
        </w:rPr>
        <w:t>What your document shows</w:t>
      </w:r>
    </w:p>
    <w:p>
      <w:pPr>
        <w:spacing w:after="60"/>
      </w:pPr>
      <w:r>
        <w:rPr>
          <w:b w:val="0"/>
          <w:color w:val="111111"/>
          <w:sz w:val="20"/>
        </w:rPr>
        <w:t xml:space="preserve">Our fixture schedule reproduces documents 1, 2 and 3 </w:t>
      </w:r>
      <w:r>
        <w:rPr>
          <w:b/>
          <w:color w:val="111111"/>
          <w:sz w:val="20"/>
        </w:rPr>
        <w:t>to the franc</w:t>
      </w:r>
      <w:r>
        <w:rPr>
          <w:b w:val="0"/>
          <w:color w:val="111111"/>
          <w:sz w:val="20"/>
        </w:rPr>
        <w:t xml:space="preserve"> (6,450,000 / 2,255,000 / 2,255,000).</w:t>
      </w:r>
    </w:p>
    <w:p>
      <w:pPr>
        <w:spacing w:after="60"/>
      </w:pPr>
      <w:r>
        <w:rPr>
          <w:b w:val="0"/>
          <w:color w:val="111111"/>
          <w:sz w:val="20"/>
        </w:rPr>
        <w:t xml:space="preserve">Document 4 is the one it misses. It is plainly a luxury specification — five bathtubs, eight showers, five kitchen sinks — but lists </w:t>
      </w:r>
      <w:r>
        <w:rPr>
          <w:b/>
          <w:color w:val="111111"/>
          <w:sz w:val="20"/>
        </w:rPr>
        <w:t>no mirrors at all</w:t>
      </w:r>
      <w:r>
        <w:rPr>
          <w:b w:val="0"/>
          <w:color w:val="111111"/>
          <w:sz w:val="20"/>
        </w:rPr>
        <w:t xml:space="preserve"> under item 807.</w:t>
      </w:r>
    </w:p>
    <w:p>
      <w:pPr>
        <w:spacing w:after="40"/>
      </w:pPr>
      <w:r>
        <w:rPr>
          <w:b/>
          <w:color w:val="111111"/>
          <w:sz w:val="20"/>
        </w:rPr>
        <w:t>What we have assumed in the meantime</w:t>
      </w:r>
    </w:p>
    <w:p>
      <w:pPr>
        <w:spacing w:after="80"/>
      </w:pPr>
      <w:r>
        <w:rPr>
          <w:b w:val="0"/>
          <w:color w:val="111111"/>
          <w:sz w:val="20"/>
        </w:rPr>
        <w:t>We give a mirror to every bathroom on a premium or luxury specification, so we show three where your document shows none. We have deliberately not changed the rule to fit, because we do not know which is correct.</w:t>
      </w:r>
    </w:p>
    <w:p>
      <w:pPr>
        <w:spacing w:after="40"/>
      </w:pPr>
      <w:r>
        <w:rPr>
          <w:b/>
          <w:color w:val="111111"/>
          <w:sz w:val="20"/>
        </w:rPr>
        <w:t>What we need from you</w:t>
      </w:r>
    </w:p>
    <w:p>
      <w:r>
        <w:rPr>
          <w:b/>
          <w:color w:val="111111"/>
          <w:sz w:val="21"/>
        </w:rPr>
        <w:t>Is that an omission in the document, or do you not price mirrors on this kind of job?</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11  —  Is Adamawa 7–8% overall, or 7–8% on labour and materials?</w:t>
      </w:r>
    </w:p>
    <w:p>
      <w:pPr>
        <w:spacing w:after="40"/>
      </w:pPr>
      <w:r>
        <w:rPr>
          <w:b/>
          <w:color w:val="111111"/>
          <w:sz w:val="20"/>
        </w:rPr>
        <w:t>What your document shows</w:t>
      </w:r>
    </w:p>
    <w:p>
      <w:pPr>
        <w:spacing w:after="60"/>
      </w:pPr>
      <w:r>
        <w:rPr>
          <w:b w:val="0"/>
          <w:color w:val="111111"/>
          <w:sz w:val="20"/>
        </w:rPr>
        <w:t xml:space="preserve">You told us Adamawa runs 7–8% above the Douala baseline, and we have corrected our index from 1.4444 to </w:t>
      </w:r>
      <w:r>
        <w:rPr>
          <w:b/>
          <w:color w:val="111111"/>
          <w:sz w:val="20"/>
        </w:rPr>
        <w:t>1.0750</w:t>
      </w:r>
      <w:r>
        <w:rPr>
          <w:b w:val="0"/>
          <w:color w:val="111111"/>
          <w:sz w:val="20"/>
        </w:rPr>
        <w:t xml:space="preserve"> accordingly.</w:t>
      </w:r>
    </w:p>
    <w:p>
      <w:pPr>
        <w:spacing w:after="60"/>
      </w:pPr>
      <w:r>
        <w:rPr>
          <w:b w:val="0"/>
          <w:color w:val="111111"/>
          <w:sz w:val="20"/>
        </w:rPr>
        <w:t xml:space="preserve">But an identical building still prices </w:t>
      </w:r>
      <w:r>
        <w:rPr>
          <w:b/>
          <w:color w:val="111111"/>
          <w:sz w:val="20"/>
        </w:rPr>
        <w:t>15.2%</w:t>
      </w:r>
      <w:r>
        <w:rPr>
          <w:b w:val="0"/>
          <w:color w:val="111111"/>
          <w:sz w:val="20"/>
        </w:rPr>
        <w:t xml:space="preserve"> above Douala, because we take concrete from each city’s own column and Adamawa’s is </w:t>
      </w:r>
      <w:r>
        <w:rPr>
          <w:b/>
          <w:color w:val="111111"/>
          <w:sz w:val="20"/>
        </w:rPr>
        <w:t>260,000 XAF/m³ against Douala’s 180,000</w:t>
      </w:r>
      <w:r>
        <w:rPr>
          <w:b w:val="0"/>
          <w:color w:val="111111"/>
          <w:sz w:val="20"/>
        </w:rPr>
        <w:t xml:space="preserve"> — 44% higher on inland haulage. Concrete is about a fifth of a take-off.</w:t>
      </w:r>
    </w:p>
    <w:p>
      <w:pPr>
        <w:spacing w:after="40"/>
      </w:pPr>
      <w:r>
        <w:rPr>
          <w:b/>
          <w:color w:val="111111"/>
          <w:sz w:val="20"/>
        </w:rPr>
        <w:t>What we have assumed in the meantime</w:t>
      </w:r>
    </w:p>
    <w:p>
      <w:pPr>
        <w:spacing w:after="80"/>
      </w:pPr>
      <w:r>
        <w:rPr>
          <w:b w:val="0"/>
          <w:color w:val="111111"/>
          <w:sz w:val="20"/>
        </w:rPr>
        <w:t>Both figures as you gave them: the index at 1.075 and the concrete column unchanged.</w:t>
      </w:r>
    </w:p>
    <w:p>
      <w:pPr>
        <w:spacing w:after="40"/>
      </w:pPr>
      <w:r>
        <w:rPr>
          <w:b/>
          <w:color w:val="111111"/>
          <w:sz w:val="20"/>
        </w:rPr>
        <w:t>What we need from you</w:t>
      </w:r>
    </w:p>
    <w:p>
      <w:r>
        <w:rPr>
          <w:b/>
          <w:color w:val="111111"/>
          <w:sz w:val="21"/>
        </w:rPr>
        <w:t>Does your 7–8% describe the finished project, or only the non-concrete trades? If it is the finished project, the Adamawa concrete column is overstated too and the two need to move together.</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12  —  Roof coverings, and one we have added</w:t>
      </w:r>
    </w:p>
    <w:p>
      <w:pPr>
        <w:spacing w:after="40"/>
      </w:pPr>
      <w:r>
        <w:rPr>
          <w:b/>
          <w:color w:val="111111"/>
          <w:sz w:val="20"/>
        </w:rPr>
        <w:t>What your document shows</w:t>
      </w:r>
    </w:p>
    <w:p>
      <w:pPr>
        <w:spacing w:after="60"/>
      </w:pPr>
      <w:r>
        <w:rPr>
          <w:b w:val="0"/>
          <w:color w:val="111111"/>
          <w:sz w:val="20"/>
        </w:rPr>
        <w:t>We had three different sets of roof uplifts in our own system. They are now one set:</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3969"/>
        <w:gridCol w:w="5329"/>
      </w:tblGrid>
      <w:tr>
        <w:trPr>
          <w:cantSplit/>
          <w:tblHeader w:val="true"/>
        </w:trPr>
        <w:tc>
          <w:tcPr>
            <w:tcW w:type="dxa" w:w="3969"/>
            <w:shd w:fill="EDEDED"/>
          </w:tcPr>
          <w:p>
            <w:pPr>
              <w:spacing w:after="20"/>
            </w:pPr>
            <w:r>
              <w:rPr>
                <w:b/>
                <w:sz w:val="19"/>
              </w:rPr>
              <w:t>Covering</w:t>
            </w:r>
          </w:p>
        </w:tc>
        <w:tc>
          <w:tcPr>
            <w:tcW w:type="dxa" w:w="5329"/>
            <w:shd w:fill="EDEDED"/>
          </w:tcPr>
          <w:p>
            <w:pPr>
              <w:spacing w:after="20"/>
            </w:pPr>
            <w:r>
              <w:rPr>
                <w:b/>
                <w:sz w:val="19"/>
              </w:rPr>
              <w:t>Uplift over long-span aluminium</w:t>
            </w:r>
          </w:p>
        </w:tc>
      </w:tr>
      <w:tr>
        <w:trPr>
          <w:cantSplit/>
        </w:trPr>
        <w:tc>
          <w:tcPr>
            <w:tcW w:type="dxa" w:w="3969"/>
          </w:tcPr>
          <w:p>
            <w:pPr>
              <w:spacing w:after="20"/>
            </w:pPr>
            <w:r>
              <w:rPr>
                <w:b w:val="0"/>
                <w:color w:val="111111"/>
                <w:sz w:val="19"/>
              </w:rPr>
              <w:t>Long-span aluminium</w:t>
            </w:r>
          </w:p>
        </w:tc>
        <w:tc>
          <w:tcPr>
            <w:tcW w:type="dxa" w:w="5329"/>
          </w:tcPr>
          <w:p>
            <w:pPr>
              <w:spacing w:after="20"/>
            </w:pPr>
            <w:r>
              <w:rPr>
                <w:b w:val="0"/>
                <w:color w:val="111111"/>
                <w:sz w:val="19"/>
              </w:rPr>
              <w:t>baseline</w:t>
            </w:r>
          </w:p>
        </w:tc>
      </w:tr>
      <w:tr>
        <w:trPr>
          <w:cantSplit/>
        </w:trPr>
        <w:tc>
          <w:tcPr>
            <w:tcW w:type="dxa" w:w="3969"/>
          </w:tcPr>
          <w:p>
            <w:pPr>
              <w:spacing w:after="20"/>
            </w:pPr>
            <w:r>
              <w:rPr>
                <w:b w:val="0"/>
                <w:color w:val="111111"/>
                <w:sz w:val="19"/>
              </w:rPr>
              <w:t>Clay tiles</w:t>
            </w:r>
          </w:p>
        </w:tc>
        <w:tc>
          <w:tcPr>
            <w:tcW w:type="dxa" w:w="5329"/>
          </w:tcPr>
          <w:p>
            <w:pPr>
              <w:spacing w:after="20"/>
            </w:pPr>
            <w:r>
              <w:rPr>
                <w:b w:val="0"/>
                <w:color w:val="111111"/>
                <w:sz w:val="19"/>
              </w:rPr>
              <w:t>+10%</w:t>
            </w:r>
          </w:p>
        </w:tc>
      </w:tr>
      <w:tr>
        <w:trPr>
          <w:cantSplit/>
        </w:trPr>
        <w:tc>
          <w:tcPr>
            <w:tcW w:type="dxa" w:w="3969"/>
          </w:tcPr>
          <w:p>
            <w:pPr>
              <w:spacing w:after="20"/>
            </w:pPr>
            <w:r>
              <w:rPr>
                <w:b w:val="0"/>
                <w:color w:val="111111"/>
                <w:sz w:val="19"/>
              </w:rPr>
              <w:t>Concrete slab</w:t>
            </w:r>
          </w:p>
        </w:tc>
        <w:tc>
          <w:tcPr>
            <w:tcW w:type="dxa" w:w="5329"/>
          </w:tcPr>
          <w:p>
            <w:pPr>
              <w:spacing w:after="20"/>
            </w:pPr>
            <w:r>
              <w:rPr>
                <w:b w:val="0"/>
                <w:color w:val="111111"/>
                <w:sz w:val="19"/>
              </w:rPr>
              <w:t>+8%</w:t>
            </w:r>
          </w:p>
        </w:tc>
      </w:tr>
      <w:tr>
        <w:trPr>
          <w:cantSplit/>
        </w:trPr>
        <w:tc>
          <w:tcPr>
            <w:tcW w:type="dxa" w:w="3969"/>
          </w:tcPr>
          <w:p>
            <w:pPr>
              <w:spacing w:after="20"/>
            </w:pPr>
            <w:r>
              <w:rPr>
                <w:b w:val="0"/>
                <w:color w:val="111111"/>
                <w:sz w:val="19"/>
              </w:rPr>
              <w:t>Shingle</w:t>
            </w:r>
          </w:p>
        </w:tc>
        <w:tc>
          <w:tcPr>
            <w:tcW w:type="dxa" w:w="5329"/>
          </w:tcPr>
          <w:p>
            <w:pPr>
              <w:spacing w:after="20"/>
            </w:pPr>
            <w:r>
              <w:rPr>
                <w:b w:val="0"/>
                <w:color w:val="111111"/>
                <w:sz w:val="19"/>
              </w:rPr>
              <w:t>+5%</w:t>
            </w:r>
          </w:p>
        </w:tc>
      </w:tr>
      <w:tr>
        <w:trPr>
          <w:cantSplit/>
        </w:trPr>
        <w:tc>
          <w:tcPr>
            <w:tcW w:type="dxa" w:w="3969"/>
          </w:tcPr>
          <w:p>
            <w:pPr>
              <w:spacing w:after="20"/>
            </w:pPr>
            <w:r>
              <w:rPr>
                <w:b/>
                <w:color w:val="111111"/>
                <w:sz w:val="19"/>
              </w:rPr>
              <w:t>Aluminium deck (flat)</w:t>
            </w:r>
          </w:p>
        </w:tc>
        <w:tc>
          <w:tcPr>
            <w:tcW w:type="dxa" w:w="5329"/>
          </w:tcPr>
          <w:p>
            <w:pPr>
              <w:spacing w:after="20"/>
            </w:pPr>
            <w:r>
              <w:rPr>
                <w:b/>
                <w:color w:val="111111"/>
                <w:sz w:val="19"/>
              </w:rPr>
              <w:t>baseline — assumed, not measured</w:t>
            </w:r>
          </w:p>
        </w:tc>
      </w:tr>
    </w:tbl>
    <w:p>
      <w:pPr>
        <w:spacing w:after="40"/>
      </w:pPr>
    </w:p>
    <w:p>
      <w:pPr>
        <w:spacing w:after="40"/>
      </w:pPr>
      <w:r>
        <w:rPr>
          <w:b/>
          <w:color w:val="111111"/>
          <w:sz w:val="20"/>
        </w:rPr>
        <w:t>What we have assumed in the meantime</w:t>
      </w:r>
    </w:p>
    <w:p>
      <w:pPr>
        <w:spacing w:after="80"/>
      </w:pPr>
      <w:r>
        <w:rPr>
          <w:b w:val="0"/>
          <w:color w:val="111111"/>
          <w:sz w:val="20"/>
        </w:rPr>
        <w:t>The first four are as we understood them from the documents. The fifth — a flat aluminium deck — appears in none of your four, and we have priced it at the long-span rate because it is the same sheet laid to a shallow fall rather than pitched.</w:t>
      </w:r>
    </w:p>
    <w:p>
      <w:pPr>
        <w:spacing w:after="40"/>
      </w:pPr>
      <w:r>
        <w:rPr>
          <w:b/>
          <w:color w:val="111111"/>
          <w:sz w:val="20"/>
        </w:rPr>
        <w:t>What we need from you</w:t>
      </w:r>
    </w:p>
    <w:p>
      <w:r>
        <w:rPr>
          <w:b/>
          <w:color w:val="111111"/>
          <w:sz w:val="21"/>
        </w:rPr>
        <w:t>Are the first four right? And is our reading of the aluminium deck reasonable, or does the decking, falls and upstand detail put it nearer a concrete slab?</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13  —  Room sizes behind your 120 m²</w:t>
      </w:r>
    </w:p>
    <w:p>
      <w:pPr>
        <w:spacing w:after="40"/>
      </w:pPr>
      <w:r>
        <w:rPr>
          <w:b/>
          <w:color w:val="111111"/>
          <w:sz w:val="20"/>
        </w:rPr>
        <w:t>What your document shows</w:t>
      </w:r>
    </w:p>
    <w:p>
      <w:pPr>
        <w:spacing w:after="60"/>
      </w:pPr>
      <w:r>
        <w:rPr>
          <w:b w:val="0"/>
          <w:color w:val="111111"/>
          <w:sz w:val="20"/>
        </w:rPr>
        <w:t xml:space="preserve">You put a five-bedroom two-storey semi-detached at </w:t>
      </w:r>
      <w:r>
        <w:rPr>
          <w:b/>
          <w:color w:val="111111"/>
          <w:sz w:val="20"/>
        </w:rPr>
        <w:t>120 m² per floor</w:t>
      </w:r>
      <w:r>
        <w:rPr>
          <w:b w:val="0"/>
          <w:color w:val="111111"/>
          <w:sz w:val="20"/>
        </w:rPr>
        <w:t>. We had been suggesting 95, so we rebuilt our room benchmarks to reach your figure:</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324"/>
        <w:gridCol w:w="2324"/>
        <w:gridCol w:w="2324"/>
        <w:gridCol w:w="2324"/>
      </w:tblGrid>
      <w:tr>
        <w:trPr>
          <w:cantSplit/>
          <w:tblHeader w:val="true"/>
        </w:trPr>
        <w:tc>
          <w:tcPr>
            <w:tcW w:type="dxa" w:w="2324"/>
            <w:shd w:fill="EDEDED"/>
          </w:tcPr>
          <w:p>
            <w:pPr>
              <w:spacing w:after="20"/>
            </w:pPr>
            <w:r>
              <w:rPr>
                <w:b/>
                <w:sz w:val="19"/>
              </w:rPr>
              <w:t>Room</w:t>
            </w:r>
          </w:p>
        </w:tc>
        <w:tc>
          <w:tcPr>
            <w:tcW w:type="dxa" w:w="2324"/>
            <w:shd w:fill="EDEDED"/>
          </w:tcPr>
          <w:p>
            <w:pPr>
              <w:spacing w:after="20"/>
            </w:pPr>
            <w:r>
              <w:rPr>
                <w:b/>
                <w:sz w:val="19"/>
              </w:rPr>
              <w:t>m²</w:t>
            </w:r>
          </w:p>
        </w:tc>
        <w:tc>
          <w:tcPr>
            <w:tcW w:type="dxa" w:w="2324"/>
            <w:shd w:fill="EDEDED"/>
          </w:tcPr>
          <w:p>
            <w:pPr>
              <w:spacing w:after="20"/>
            </w:pPr>
            <w:r>
              <w:rPr>
                <w:b/>
                <w:sz w:val="19"/>
              </w:rPr>
              <w:t>Room</w:t>
            </w:r>
          </w:p>
        </w:tc>
        <w:tc>
          <w:tcPr>
            <w:tcW w:type="dxa" w:w="2324"/>
            <w:shd w:fill="EDEDED"/>
          </w:tcPr>
          <w:p>
            <w:pPr>
              <w:spacing w:after="20"/>
            </w:pPr>
            <w:r>
              <w:rPr>
                <w:b/>
                <w:sz w:val="19"/>
              </w:rPr>
              <w:t>m²</w:t>
            </w:r>
          </w:p>
        </w:tc>
      </w:tr>
      <w:tr>
        <w:trPr>
          <w:cantSplit/>
        </w:trPr>
        <w:tc>
          <w:tcPr>
            <w:tcW w:type="dxa" w:w="2324"/>
          </w:tcPr>
          <w:p>
            <w:pPr>
              <w:spacing w:after="20"/>
            </w:pPr>
            <w:r>
              <w:rPr>
                <w:b w:val="0"/>
                <w:color w:val="111111"/>
                <w:sz w:val="19"/>
              </w:rPr>
              <w:t>Bedroom</w:t>
            </w:r>
          </w:p>
        </w:tc>
        <w:tc>
          <w:tcPr>
            <w:tcW w:type="dxa" w:w="2324"/>
          </w:tcPr>
          <w:p>
            <w:pPr>
              <w:spacing w:after="20"/>
            </w:pPr>
            <w:r>
              <w:rPr>
                <w:b w:val="0"/>
                <w:color w:val="111111"/>
                <w:sz w:val="19"/>
              </w:rPr>
              <w:t>17</w:t>
            </w:r>
          </w:p>
        </w:tc>
        <w:tc>
          <w:tcPr>
            <w:tcW w:type="dxa" w:w="2324"/>
          </w:tcPr>
          <w:p>
            <w:pPr>
              <w:spacing w:after="20"/>
            </w:pPr>
            <w:r>
              <w:rPr>
                <w:b w:val="0"/>
                <w:color w:val="111111"/>
                <w:sz w:val="19"/>
              </w:rPr>
              <w:t>Kitchen</w:t>
            </w:r>
          </w:p>
        </w:tc>
        <w:tc>
          <w:tcPr>
            <w:tcW w:type="dxa" w:w="2324"/>
          </w:tcPr>
          <w:p>
            <w:pPr>
              <w:spacing w:after="20"/>
            </w:pPr>
            <w:r>
              <w:rPr>
                <w:b w:val="0"/>
                <w:color w:val="111111"/>
                <w:sz w:val="19"/>
              </w:rPr>
              <w:t>15</w:t>
            </w:r>
          </w:p>
        </w:tc>
      </w:tr>
      <w:tr>
        <w:trPr>
          <w:cantSplit/>
        </w:trPr>
        <w:tc>
          <w:tcPr>
            <w:tcW w:type="dxa" w:w="2324"/>
          </w:tcPr>
          <w:p>
            <w:pPr>
              <w:spacing w:after="20"/>
            </w:pPr>
            <w:r>
              <w:rPr>
                <w:b w:val="0"/>
                <w:color w:val="111111"/>
                <w:sz w:val="19"/>
              </w:rPr>
              <w:t>Bathroom</w:t>
            </w:r>
          </w:p>
        </w:tc>
        <w:tc>
          <w:tcPr>
            <w:tcW w:type="dxa" w:w="2324"/>
          </w:tcPr>
          <w:p>
            <w:pPr>
              <w:spacing w:after="20"/>
            </w:pPr>
            <w:r>
              <w:rPr>
                <w:b w:val="0"/>
                <w:color w:val="111111"/>
                <w:sz w:val="19"/>
              </w:rPr>
              <w:t>6</w:t>
            </w:r>
          </w:p>
        </w:tc>
        <w:tc>
          <w:tcPr>
            <w:tcW w:type="dxa" w:w="2324"/>
          </w:tcPr>
          <w:p>
            <w:pPr>
              <w:spacing w:after="20"/>
            </w:pPr>
            <w:r>
              <w:rPr>
                <w:b w:val="0"/>
                <w:color w:val="111111"/>
                <w:sz w:val="19"/>
              </w:rPr>
              <w:t>Home office</w:t>
            </w:r>
          </w:p>
        </w:tc>
        <w:tc>
          <w:tcPr>
            <w:tcW w:type="dxa" w:w="2324"/>
          </w:tcPr>
          <w:p>
            <w:pPr>
              <w:spacing w:after="20"/>
            </w:pPr>
            <w:r>
              <w:rPr>
                <w:b w:val="0"/>
                <w:color w:val="111111"/>
                <w:sz w:val="19"/>
              </w:rPr>
              <w:t>12  (our guess)</w:t>
            </w:r>
          </w:p>
        </w:tc>
      </w:tr>
      <w:tr>
        <w:trPr>
          <w:cantSplit/>
        </w:trPr>
        <w:tc>
          <w:tcPr>
            <w:tcW w:type="dxa" w:w="2324"/>
          </w:tcPr>
          <w:p>
            <w:pPr>
              <w:spacing w:after="20"/>
            </w:pPr>
            <w:r>
              <w:rPr>
                <w:b w:val="0"/>
                <w:color w:val="111111"/>
                <w:sz w:val="19"/>
              </w:rPr>
              <w:t>Living room</w:t>
            </w:r>
          </w:p>
        </w:tc>
        <w:tc>
          <w:tcPr>
            <w:tcW w:type="dxa" w:w="2324"/>
          </w:tcPr>
          <w:p>
            <w:pPr>
              <w:spacing w:after="20"/>
            </w:pPr>
            <w:r>
              <w:rPr>
                <w:b w:val="0"/>
                <w:color w:val="111111"/>
                <w:sz w:val="19"/>
              </w:rPr>
              <w:t>32</w:t>
            </w:r>
          </w:p>
        </w:tc>
        <w:tc>
          <w:tcPr>
            <w:tcW w:type="dxa" w:w="2324"/>
          </w:tcPr>
          <w:p>
            <w:pPr>
              <w:spacing w:after="20"/>
            </w:pPr>
            <w:r>
              <w:rPr>
                <w:b w:val="0"/>
                <w:color w:val="111111"/>
                <w:sz w:val="19"/>
              </w:rPr>
              <w:t>Circulation</w:t>
            </w:r>
          </w:p>
        </w:tc>
        <w:tc>
          <w:tcPr>
            <w:tcW w:type="dxa" w:w="2324"/>
          </w:tcPr>
          <w:p>
            <w:pPr>
              <w:spacing w:after="20"/>
            </w:pPr>
            <w:r>
              <w:rPr>
                <w:b w:val="0"/>
                <w:color w:val="111111"/>
                <w:sz w:val="19"/>
              </w:rPr>
              <w:t>+30%</w:t>
            </w:r>
          </w:p>
        </w:tc>
      </w:tr>
    </w:tbl>
    <w:p>
      <w:pPr>
        <w:spacing w:after="40"/>
      </w:pPr>
    </w:p>
    <w:p>
      <w:pPr>
        <w:spacing w:after="40"/>
      </w:pPr>
      <w:r>
        <w:rPr>
          <w:b/>
          <w:color w:val="111111"/>
          <w:sz w:val="20"/>
        </w:rPr>
        <w:t>What we have assumed in the meantime</w:t>
      </w:r>
    </w:p>
    <w:p>
      <w:pPr>
        <w:spacing w:after="80"/>
      </w:pPr>
      <w:r>
        <w:rPr>
          <w:b w:val="0"/>
          <w:color w:val="111111"/>
          <w:sz w:val="20"/>
        </w:rPr>
        <w:t>These now drive every floor area the app suggests. A client who accepts our suggestion is accepting these numbers, so we would rather they were yours than ours.</w:t>
      </w:r>
    </w:p>
    <w:p>
      <w:pPr>
        <w:spacing w:after="40"/>
      </w:pPr>
      <w:r>
        <w:rPr>
          <w:b/>
          <w:color w:val="111111"/>
          <w:sz w:val="20"/>
        </w:rPr>
        <w:t>What we need from you</w:t>
      </w:r>
    </w:p>
    <w:p>
      <w:r>
        <w:rPr>
          <w:b/>
          <w:color w:val="111111"/>
          <w:sz w:val="21"/>
        </w:rPr>
        <w:t>Are the individual room sizes right, or only the total? And is 12 m² sensible for a home office — that one is purely our guess.</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14  —  Can you price a staff quarters?</w:t>
      </w:r>
    </w:p>
    <w:p>
      <w:pPr>
        <w:spacing w:after="40"/>
      </w:pPr>
      <w:r>
        <w:rPr>
          <w:b/>
          <w:color w:val="111111"/>
          <w:sz w:val="20"/>
        </w:rPr>
        <w:t>What your document shows</w:t>
      </w:r>
    </w:p>
    <w:p>
      <w:pPr>
        <w:spacing w:after="60"/>
      </w:pPr>
      <w:r>
        <w:rPr>
          <w:b w:val="0"/>
          <w:color w:val="111111"/>
          <w:sz w:val="20"/>
        </w:rPr>
        <w:t xml:space="preserve">We were adding </w:t>
      </w:r>
      <w:r>
        <w:rPr>
          <w:b/>
          <w:color w:val="111111"/>
          <w:sz w:val="20"/>
        </w:rPr>
        <w:t>$8,000 per room</w:t>
      </w:r>
      <w:r>
        <w:rPr>
          <w:b w:val="0"/>
          <w:color w:val="111111"/>
          <w:sz w:val="20"/>
        </w:rPr>
        <w:t xml:space="preserve"> for staff quarters. That figure had nothing behind it, and on a typical build it was 19–27% of the total a client was shown.</w:t>
      </w:r>
    </w:p>
    <w:p>
      <w:pPr>
        <w:spacing w:after="40"/>
      </w:pPr>
      <w:r>
        <w:rPr>
          <w:b/>
          <w:color w:val="111111"/>
          <w:sz w:val="20"/>
        </w:rPr>
        <w:t>What we have assumed in the meantime</w:t>
      </w:r>
    </w:p>
    <w:p>
      <w:pPr>
        <w:spacing w:after="80"/>
      </w:pPr>
      <w:r>
        <w:rPr>
          <w:b w:val="0"/>
          <w:color w:val="111111"/>
          <w:sz w:val="20"/>
        </w:rPr>
        <w:t>We have removed it completely. The app still asks whether the client wants staff quarters, but it now costs nothing and says so on screen.</w:t>
      </w:r>
    </w:p>
    <w:p>
      <w:pPr>
        <w:spacing w:after="40"/>
      </w:pPr>
      <w:r>
        <w:rPr>
          <w:b/>
          <w:color w:val="111111"/>
          <w:sz w:val="20"/>
        </w:rPr>
        <w:t>What we need from you</w:t>
      </w:r>
    </w:p>
    <w:p>
      <w:r>
        <w:rPr>
          <w:b/>
          <w:color w:val="111111"/>
          <w:sz w:val="21"/>
        </w:rPr>
        <w:t>Could you send a bill of quantities for a typical staff quarters block — say two rooms with a shared bathroom? Until then we cannot quote it at all.</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15  —  Nine rates that have nothing behind them</w:t>
      </w:r>
    </w:p>
    <w:p>
      <w:pPr>
        <w:spacing w:after="40"/>
      </w:pPr>
      <w:r>
        <w:rPr>
          <w:b/>
          <w:color w:val="111111"/>
          <w:sz w:val="20"/>
        </w:rPr>
        <w:t>What your document shows</w:t>
      </w:r>
    </w:p>
    <w:p>
      <w:pPr>
        <w:spacing w:after="60"/>
      </w:pPr>
      <w:r>
        <w:rPr>
          <w:b w:val="0"/>
          <w:color w:val="111111"/>
          <w:sz w:val="20"/>
        </w:rPr>
        <w:t>Now that our estimate prints as a line-by-line bill, every rate is visibly either taken from your documents or inferred by us. These nine are inferred, and they are flagged “est.” on screen so nobody mistakes them for measured figures:</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1020"/>
        <w:gridCol w:w="4649"/>
        <w:gridCol w:w="3628"/>
      </w:tblGrid>
      <w:tr>
        <w:trPr>
          <w:cantSplit/>
          <w:tblHeader w:val="true"/>
        </w:trPr>
        <w:tc>
          <w:tcPr>
            <w:tcW w:type="dxa" w:w="1020"/>
            <w:shd w:fill="EDEDED"/>
          </w:tcPr>
          <w:p>
            <w:pPr>
              <w:spacing w:after="20"/>
            </w:pPr>
            <w:r>
              <w:rPr>
                <w:b/>
                <w:sz w:val="19"/>
              </w:rPr>
              <w:t>Item</w:t>
            </w:r>
          </w:p>
        </w:tc>
        <w:tc>
          <w:tcPr>
            <w:tcW w:type="dxa" w:w="4649"/>
            <w:shd w:fill="EDEDED"/>
          </w:tcPr>
          <w:p>
            <w:pPr>
              <w:spacing w:after="20"/>
            </w:pPr>
            <w:r>
              <w:rPr>
                <w:b/>
                <w:sz w:val="19"/>
              </w:rPr>
              <w:t>Description</w:t>
            </w:r>
          </w:p>
        </w:tc>
        <w:tc>
          <w:tcPr>
            <w:tcW w:type="dxa" w:w="3628"/>
            <w:shd w:fill="EDEDED"/>
          </w:tcPr>
          <w:p>
            <w:pPr>
              <w:spacing w:after="20"/>
            </w:pPr>
            <w:r>
              <w:rPr>
                <w:b/>
                <w:sz w:val="19"/>
              </w:rPr>
              <w:t>What we currently assume</w:t>
            </w:r>
          </w:p>
        </w:tc>
      </w:tr>
      <w:tr>
        <w:trPr>
          <w:cantSplit/>
        </w:trPr>
        <w:tc>
          <w:tcPr>
            <w:tcW w:type="dxa" w:w="1020"/>
          </w:tcPr>
          <w:p>
            <w:pPr>
              <w:spacing w:after="20"/>
            </w:pPr>
            <w:r>
              <w:rPr>
                <w:b w:val="0"/>
                <w:color w:val="111111"/>
                <w:sz w:val="19"/>
              </w:rPr>
              <w:t>101</w:t>
            </w:r>
          </w:p>
        </w:tc>
        <w:tc>
          <w:tcPr>
            <w:tcW w:type="dxa" w:w="4649"/>
          </w:tcPr>
          <w:p>
            <w:pPr>
              <w:spacing w:after="20"/>
            </w:pPr>
            <w:r>
              <w:rPr>
                <w:b w:val="0"/>
                <w:color w:val="111111"/>
                <w:sz w:val="19"/>
              </w:rPr>
              <w:t>Site setup, hoarding, temporary works</w:t>
            </w:r>
          </w:p>
        </w:tc>
        <w:tc>
          <w:tcPr>
            <w:tcW w:type="dxa" w:w="3628"/>
          </w:tcPr>
          <w:p>
            <w:pPr>
              <w:spacing w:after="20"/>
            </w:pPr>
            <w:r>
              <w:rPr>
                <w:b w:val="0"/>
                <w:color w:val="111111"/>
                <w:sz w:val="19"/>
              </w:rPr>
              <w:t>250,000 XAF lump sum</w:t>
            </w:r>
          </w:p>
        </w:tc>
      </w:tr>
      <w:tr>
        <w:trPr>
          <w:cantSplit/>
        </w:trPr>
        <w:tc>
          <w:tcPr>
            <w:tcW w:type="dxa" w:w="1020"/>
          </w:tcPr>
          <w:p>
            <w:pPr>
              <w:spacing w:after="20"/>
            </w:pPr>
            <w:r>
              <w:rPr>
                <w:b w:val="0"/>
                <w:color w:val="111111"/>
                <w:sz w:val="19"/>
              </w:rPr>
              <w:t>102</w:t>
            </w:r>
          </w:p>
        </w:tc>
        <w:tc>
          <w:tcPr>
            <w:tcW w:type="dxa" w:w="4649"/>
          </w:tcPr>
          <w:p>
            <w:pPr>
              <w:spacing w:after="20"/>
            </w:pPr>
            <w:r>
              <w:rPr>
                <w:b w:val="0"/>
                <w:color w:val="111111"/>
                <w:sz w:val="19"/>
              </w:rPr>
              <w:t>Site clearing and setting out</w:t>
            </w:r>
          </w:p>
        </w:tc>
        <w:tc>
          <w:tcPr>
            <w:tcW w:type="dxa" w:w="3628"/>
          </w:tcPr>
          <w:p>
            <w:pPr>
              <w:spacing w:after="20"/>
            </w:pPr>
            <w:r>
              <w:rPr>
                <w:b w:val="0"/>
                <w:color w:val="111111"/>
                <w:sz w:val="19"/>
              </w:rPr>
              <w:t>1,600 XAF/m²</w:t>
            </w:r>
          </w:p>
        </w:tc>
      </w:tr>
      <w:tr>
        <w:trPr>
          <w:cantSplit/>
        </w:trPr>
        <w:tc>
          <w:tcPr>
            <w:tcW w:type="dxa" w:w="1020"/>
          </w:tcPr>
          <w:p>
            <w:pPr>
              <w:spacing w:after="20"/>
            </w:pPr>
            <w:r>
              <w:rPr>
                <w:b w:val="0"/>
                <w:color w:val="111111"/>
                <w:sz w:val="19"/>
              </w:rPr>
              <w:t>207</w:t>
            </w:r>
          </w:p>
        </w:tc>
        <w:tc>
          <w:tcPr>
            <w:tcW w:type="dxa" w:w="4649"/>
          </w:tcPr>
          <w:p>
            <w:pPr>
              <w:spacing w:after="20"/>
            </w:pPr>
            <w:r>
              <w:rPr>
                <w:b w:val="0"/>
                <w:color w:val="111111"/>
                <w:sz w:val="19"/>
              </w:rPr>
              <w:t>Damp-proof membrane</w:t>
            </w:r>
          </w:p>
        </w:tc>
        <w:tc>
          <w:tcPr>
            <w:tcW w:type="dxa" w:w="3628"/>
          </w:tcPr>
          <w:p>
            <w:pPr>
              <w:spacing w:after="20"/>
            </w:pPr>
            <w:r>
              <w:rPr>
                <w:b w:val="0"/>
                <w:color w:val="111111"/>
                <w:sz w:val="19"/>
              </w:rPr>
              <w:t>1,000 XAF/m²</w:t>
            </w:r>
          </w:p>
        </w:tc>
      </w:tr>
      <w:tr>
        <w:trPr>
          <w:cantSplit/>
        </w:trPr>
        <w:tc>
          <w:tcPr>
            <w:tcW w:type="dxa" w:w="1020"/>
          </w:tcPr>
          <w:p>
            <w:pPr>
              <w:spacing w:after="20"/>
            </w:pPr>
            <w:r>
              <w:rPr>
                <w:b w:val="0"/>
                <w:color w:val="111111"/>
                <w:sz w:val="19"/>
              </w:rPr>
              <w:t>208</w:t>
            </w:r>
          </w:p>
        </w:tc>
        <w:tc>
          <w:tcPr>
            <w:tcW w:type="dxa" w:w="4649"/>
          </w:tcPr>
          <w:p>
            <w:pPr>
              <w:spacing w:after="20"/>
            </w:pPr>
            <w:r>
              <w:rPr>
                <w:b w:val="0"/>
                <w:color w:val="111111"/>
                <w:sz w:val="19"/>
              </w:rPr>
              <w:t>Sand blinding</w:t>
            </w:r>
          </w:p>
        </w:tc>
        <w:tc>
          <w:tcPr>
            <w:tcW w:type="dxa" w:w="3628"/>
          </w:tcPr>
          <w:p>
            <w:pPr>
              <w:spacing w:after="20"/>
            </w:pPr>
            <w:r>
              <w:rPr>
                <w:b w:val="0"/>
                <w:color w:val="111111"/>
                <w:sz w:val="19"/>
              </w:rPr>
              <w:t>1,000 XAF/m²</w:t>
            </w:r>
          </w:p>
        </w:tc>
      </w:tr>
      <w:tr>
        <w:trPr>
          <w:cantSplit/>
        </w:trPr>
        <w:tc>
          <w:tcPr>
            <w:tcW w:type="dxa" w:w="1020"/>
          </w:tcPr>
          <w:p>
            <w:pPr>
              <w:spacing w:after="20"/>
            </w:pPr>
            <w:r>
              <w:rPr>
                <w:b w:val="0"/>
                <w:color w:val="111111"/>
                <w:sz w:val="19"/>
              </w:rPr>
              <w:t>501</w:t>
            </w:r>
          </w:p>
        </w:tc>
        <w:tc>
          <w:tcPr>
            <w:tcW w:type="dxa" w:w="4649"/>
          </w:tcPr>
          <w:p>
            <w:pPr>
              <w:spacing w:after="20"/>
            </w:pPr>
            <w:r>
              <w:rPr>
                <w:b w:val="0"/>
                <w:color w:val="111111"/>
                <w:sz w:val="19"/>
              </w:rPr>
              <w:t>Parapet wall</w:t>
            </w:r>
          </w:p>
        </w:tc>
        <w:tc>
          <w:tcPr>
            <w:tcW w:type="dxa" w:w="3628"/>
          </w:tcPr>
          <w:p>
            <w:pPr>
              <w:spacing w:after="20"/>
            </w:pPr>
            <w:r>
              <w:rPr>
                <w:b w:val="0"/>
                <w:color w:val="111111"/>
                <w:sz w:val="19"/>
              </w:rPr>
              <w:t>4,500 XAF/ml</w:t>
            </w:r>
          </w:p>
        </w:tc>
      </w:tr>
      <w:tr>
        <w:trPr>
          <w:cantSplit/>
        </w:trPr>
        <w:tc>
          <w:tcPr>
            <w:tcW w:type="dxa" w:w="1020"/>
          </w:tcPr>
          <w:p>
            <w:pPr>
              <w:spacing w:after="20"/>
            </w:pPr>
            <w:r>
              <w:rPr>
                <w:b w:val="0"/>
                <w:color w:val="111111"/>
                <w:sz w:val="19"/>
              </w:rPr>
              <w:t>502</w:t>
            </w:r>
          </w:p>
        </w:tc>
        <w:tc>
          <w:tcPr>
            <w:tcW w:type="dxa" w:w="4649"/>
          </w:tcPr>
          <w:p>
            <w:pPr>
              <w:spacing w:after="20"/>
            </w:pPr>
            <w:r>
              <w:rPr>
                <w:b w:val="0"/>
                <w:color w:val="111111"/>
                <w:sz w:val="19"/>
              </w:rPr>
              <w:t>Roof timber and trusses</w:t>
            </w:r>
          </w:p>
        </w:tc>
        <w:tc>
          <w:tcPr>
            <w:tcW w:type="dxa" w:w="3628"/>
          </w:tcPr>
          <w:p>
            <w:pPr>
              <w:spacing w:after="20"/>
            </w:pPr>
            <w:r>
              <w:rPr>
                <w:b w:val="0"/>
                <w:color w:val="111111"/>
                <w:sz w:val="19"/>
              </w:rPr>
              <w:t>6,500 XAF/m²</w:t>
            </w:r>
          </w:p>
        </w:tc>
      </w:tr>
      <w:tr>
        <w:trPr>
          <w:cantSplit/>
        </w:trPr>
        <w:tc>
          <w:tcPr>
            <w:tcW w:type="dxa" w:w="1020"/>
          </w:tcPr>
          <w:p>
            <w:pPr>
              <w:spacing w:after="20"/>
            </w:pPr>
            <w:r>
              <w:rPr>
                <w:b w:val="0"/>
                <w:color w:val="111111"/>
                <w:sz w:val="19"/>
              </w:rPr>
              <w:t>701</w:t>
            </w:r>
          </w:p>
        </w:tc>
        <w:tc>
          <w:tcPr>
            <w:tcW w:type="dxa" w:w="4649"/>
          </w:tcPr>
          <w:p>
            <w:pPr>
              <w:spacing w:after="20"/>
            </w:pPr>
            <w:r>
              <w:rPr>
                <w:b w:val="0"/>
                <w:color w:val="111111"/>
                <w:sz w:val="19"/>
              </w:rPr>
              <w:t>Electrical installation, per floor</w:t>
            </w:r>
          </w:p>
        </w:tc>
        <w:tc>
          <w:tcPr>
            <w:tcW w:type="dxa" w:w="3628"/>
          </w:tcPr>
          <w:p>
            <w:pPr>
              <w:spacing w:after="20"/>
            </w:pPr>
            <w:r>
              <w:rPr>
                <w:b w:val="0"/>
                <w:color w:val="111111"/>
                <w:sz w:val="19"/>
              </w:rPr>
              <w:t>700,000 XAF</w:t>
            </w:r>
          </w:p>
        </w:tc>
      </w:tr>
      <w:tr>
        <w:trPr>
          <w:cantSplit/>
        </w:trPr>
        <w:tc>
          <w:tcPr>
            <w:tcW w:type="dxa" w:w="1020"/>
          </w:tcPr>
          <w:p>
            <w:pPr>
              <w:spacing w:after="20"/>
            </w:pPr>
            <w:r>
              <w:rPr>
                <w:b w:val="0"/>
                <w:color w:val="111111"/>
                <w:sz w:val="19"/>
              </w:rPr>
              <w:t>702</w:t>
            </w:r>
          </w:p>
        </w:tc>
        <w:tc>
          <w:tcPr>
            <w:tcW w:type="dxa" w:w="4649"/>
          </w:tcPr>
          <w:p>
            <w:pPr>
              <w:spacing w:after="20"/>
            </w:pPr>
            <w:r>
              <w:rPr>
                <w:b w:val="0"/>
                <w:color w:val="111111"/>
                <w:sz w:val="19"/>
              </w:rPr>
              <w:t>Electrical points, per room</w:t>
            </w:r>
          </w:p>
        </w:tc>
        <w:tc>
          <w:tcPr>
            <w:tcW w:type="dxa" w:w="3628"/>
          </w:tcPr>
          <w:p>
            <w:pPr>
              <w:spacing w:after="20"/>
            </w:pPr>
            <w:r>
              <w:rPr>
                <w:b w:val="0"/>
                <w:color w:val="111111"/>
                <w:sz w:val="19"/>
              </w:rPr>
              <w:t>90,000 XAF</w:t>
            </w:r>
          </w:p>
        </w:tc>
      </w:tr>
      <w:tr>
        <w:trPr>
          <w:cantSplit/>
        </w:trPr>
        <w:tc>
          <w:tcPr>
            <w:tcW w:type="dxa" w:w="1020"/>
          </w:tcPr>
          <w:p>
            <w:pPr>
              <w:spacing w:after="20"/>
            </w:pPr>
            <w:r>
              <w:rPr>
                <w:b w:val="0"/>
                <w:color w:val="111111"/>
                <w:sz w:val="19"/>
              </w:rPr>
              <w:t>907</w:t>
            </w:r>
          </w:p>
        </w:tc>
        <w:tc>
          <w:tcPr>
            <w:tcW w:type="dxa" w:w="4649"/>
          </w:tcPr>
          <w:p>
            <w:pPr>
              <w:spacing w:after="20"/>
            </w:pPr>
            <w:r>
              <w:rPr>
                <w:b w:val="0"/>
                <w:color w:val="111111"/>
                <w:sz w:val="19"/>
              </w:rPr>
              <w:t>Final finishes allowance</w:t>
            </w:r>
          </w:p>
        </w:tc>
        <w:tc>
          <w:tcPr>
            <w:tcW w:type="dxa" w:w="3628"/>
          </w:tcPr>
          <w:p>
            <w:pPr>
              <w:spacing w:after="20"/>
            </w:pPr>
            <w:r>
              <w:rPr>
                <w:b w:val="0"/>
                <w:color w:val="111111"/>
                <w:sz w:val="19"/>
              </w:rPr>
              <w:t>500,000 XAF lump sum</w:t>
            </w:r>
          </w:p>
        </w:tc>
      </w:tr>
    </w:tbl>
    <w:p>
      <w:pPr>
        <w:spacing w:after="40"/>
      </w:pPr>
    </w:p>
    <w:p>
      <w:pPr>
        <w:spacing w:after="40"/>
      </w:pPr>
      <w:r>
        <w:rPr>
          <w:b/>
          <w:color w:val="111111"/>
          <w:sz w:val="20"/>
        </w:rPr>
        <w:t>What we need from you</w:t>
      </w:r>
    </w:p>
    <w:p>
      <w:r>
        <w:rPr>
          <w:b/>
          <w:color w:val="111111"/>
          <w:sz w:val="21"/>
        </w:rPr>
        <w:t>Do any of these have a real rate you can give us? We would rather delete a line than publish an invented number inside it — a contractor who spots one made-up figure stops trusting the whole document.</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p>
            <w:pPr>
              <w:spacing w:after="0"/>
            </w:pPr>
          </w:p>
        </w:tc>
      </w:tr>
    </w:tbl>
    <w:p>
      <w:pPr>
        <w:spacing w:after="80"/>
      </w:pPr>
    </w:p>
    <w:p>
      <w:pPr>
        <w:pageBreakBefore/>
        <w:spacing w:before="40" w:after="140"/>
        <w:pBdr>
          <w:bottom w:val="single" w:sz="8" w:space="3" w:color="111111"/>
        </w:pBdr>
      </w:pPr>
      <w:r>
        <w:rPr>
          <w:b/>
          <w:color w:val="111111"/>
          <w:sz w:val="30"/>
        </w:rPr>
        <w:t>New since we last wrote</w:t>
      </w:r>
    </w:p>
    <w:p>
      <w:pPr>
        <w:keepNext/>
        <w:spacing w:before="240" w:after="60"/>
      </w:pPr>
      <w:r>
        <w:rPr>
          <w:b/>
          <w:color w:val="111111"/>
          <w:sz w:val="25"/>
        </w:rPr>
        <w:t>Question 16  —  How much of Mpangou was already built?</w:t>
      </w:r>
    </w:p>
    <w:p>
      <w:pPr>
        <w:spacing w:after="40"/>
      </w:pPr>
      <w:r>
        <w:rPr>
          <w:b/>
          <w:color w:val="111111"/>
          <w:sz w:val="20"/>
        </w:rPr>
        <w:t>What your document shows</w:t>
      </w:r>
    </w:p>
    <w:p>
      <w:pPr>
        <w:spacing w:after="60"/>
      </w:pPr>
      <w:r>
        <w:rPr>
          <w:b w:val="0"/>
          <w:color w:val="111111"/>
          <w:sz w:val="20"/>
        </w:rPr>
        <w:t>We now sit 52.1% above your Mpangou figure, up from 31.1%, because we corrected the slab count described earlier. Your document prices one contractor’s continuation of a structure already part-built — your note said it was incomplete and that the existing work was surveyed rather than re-priced.</w:t>
      </w:r>
    </w:p>
    <w:p>
      <w:pPr>
        <w:spacing w:after="60"/>
      </w:pPr>
      <w:r>
        <w:rPr>
          <w:b w:val="0"/>
          <w:color w:val="111111"/>
          <w:sz w:val="20"/>
        </w:rPr>
        <w:t>Ours prices the whole building from scratch, so some gap is not only expected but correct. We cannot tell how much.</w:t>
      </w:r>
    </w:p>
    <w:p>
      <w:pPr>
        <w:spacing w:after="40"/>
      </w:pPr>
      <w:r>
        <w:rPr>
          <w:b/>
          <w:color w:val="111111"/>
          <w:sz w:val="20"/>
        </w:rPr>
        <w:t>What we have assumed in the meantime</w:t>
      </w:r>
    </w:p>
    <w:p>
      <w:pPr>
        <w:spacing w:after="80"/>
      </w:pPr>
      <w:r>
        <w:rPr>
          <w:b w:val="0"/>
          <w:color w:val="111111"/>
          <w:sz w:val="20"/>
        </w:rPr>
        <w:t>That the whole of the difference is explained by scope, which may be too generous to us.</w:t>
      </w:r>
    </w:p>
    <w:p>
      <w:pPr>
        <w:spacing w:after="40"/>
      </w:pPr>
      <w:r>
        <w:rPr>
          <w:b/>
          <w:color w:val="111111"/>
          <w:sz w:val="20"/>
        </w:rPr>
        <w:t>What we need from you</w:t>
      </w:r>
    </w:p>
    <w:p>
      <w:r>
        <w:rPr>
          <w:b/>
          <w:color w:val="111111"/>
          <w:sz w:val="21"/>
        </w:rPr>
        <w:t>Roughly what proportion of that building was already standing when you took it over? Even a rough fraction tells us whether +52% is about right or whether we have over-corrected.</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17  —  Is 180,000 XAF/m² yours, or our own concrete rate handed back?</w:t>
      </w:r>
    </w:p>
    <w:p>
      <w:pPr>
        <w:spacing w:after="40"/>
      </w:pPr>
      <w:r>
        <w:rPr>
          <w:b/>
          <w:color w:val="111111"/>
          <w:sz w:val="20"/>
        </w:rPr>
        <w:t>What your document shows</w:t>
      </w:r>
    </w:p>
    <w:p>
      <w:pPr>
        <w:spacing w:after="60"/>
      </w:pPr>
      <w:r>
        <w:rPr>
          <w:b w:val="0"/>
          <w:color w:val="111111"/>
          <w:sz w:val="20"/>
        </w:rPr>
        <w:t>On 4 September you gave us a quick check: a Yaoundé build runs about 180,000 XAF per built m² — footprint × floors × 180,000. We use it exactly as you described it, as a sanity check and never as a price. If our estimate falls below half of it, the client is told the figure looks low for a building that size and to have a contractor confirm it.</w:t>
      </w:r>
    </w:p>
    <w:p>
      <w:pPr>
        <w:spacing w:after="60"/>
      </w:pPr>
      <w:r>
        <w:rPr>
          <w:b w:val="0"/>
          <w:color w:val="111111"/>
          <w:sz w:val="20"/>
        </w:rPr>
        <w:t>The reason we are asking is a coincidence we would rather not build on. Your own price book puts Yaoundé RC-350 concrete at 180,000 XAF per cubic metre. Same number, different quantity, different unit.</w:t>
      </w:r>
    </w:p>
    <w:p>
      <w:pPr>
        <w:spacing w:after="40"/>
      </w:pPr>
      <w:r>
        <w:rPr>
          <w:b/>
          <w:color w:val="111111"/>
          <w:sz w:val="20"/>
        </w:rPr>
        <w:t>What we have assumed in the meantime</w:t>
      </w:r>
    </w:p>
    <w:p>
      <w:pPr>
        <w:spacing w:after="80"/>
      </w:pPr>
      <w:r>
        <w:rPr>
          <w:b w:val="0"/>
          <w:color w:val="111111"/>
          <w:sz w:val="20"/>
        </w:rPr>
        <w:t>That the per-m² figure is real and separate from the concrete rate.</w:t>
      </w:r>
    </w:p>
    <w:p>
      <w:pPr>
        <w:spacing w:after="40"/>
      </w:pPr>
      <w:r>
        <w:rPr>
          <w:b/>
          <w:color w:val="111111"/>
          <w:sz w:val="20"/>
        </w:rPr>
        <w:t>What we need from you</w:t>
      </w:r>
    </w:p>
    <w:p>
      <w:r>
        <w:rPr>
          <w:b/>
          <w:color w:val="111111"/>
          <w:sz w:val="21"/>
        </w:rPr>
        <w:t>Is 180,000 XAF per built m² a genuine rule of thumb, or was that the concrete rate? Both readings are plausible, which is exactly why we do not want to guess — if it is the concrete rate, our warning is calibrated against the wrong figure.</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keepNext/>
        <w:spacing w:before="240" w:after="60"/>
      </w:pPr>
      <w:r>
        <w:rPr>
          <w:b/>
          <w:color w:val="111111"/>
          <w:sz w:val="25"/>
        </w:rPr>
        <w:t>Question 18  —  Should cost per m² keep falling as a building gets taller?</w:t>
      </w:r>
    </w:p>
    <w:p>
      <w:pPr>
        <w:spacing w:after="40"/>
      </w:pPr>
      <w:r>
        <w:rPr>
          <w:b/>
          <w:color w:val="111111"/>
          <w:sz w:val="20"/>
        </w:rPr>
        <w:t>What your document shows</w:t>
      </w:r>
    </w:p>
    <w:p>
      <w:pPr>
        <w:spacing w:after="60"/>
      </w:pPr>
      <w:r>
        <w:rPr>
          <w:b w:val="0"/>
          <w:color w:val="111111"/>
          <w:sz w:val="20"/>
        </w:rPr>
        <w:t>With the slab correction in, a Yaoundé building at a fixed footprint prices as below, measured against the 180,000 rule of thumb in Question 17.</w:t>
      </w:r>
    </w:p>
    <w:p>
      <w:pPr>
        <w:spacing w:after="60"/>
      </w:pPr>
      <w:r>
        <w:rPr>
          <w:b w:val="0"/>
          <w:color w:val="111111"/>
          <w:sz w:val="20"/>
        </w:rPr>
        <w:t>Going from one storey to eight, we lose about 49% of the ratio. Before the slab fix it was 62%, so the correction closed roughly a fifth of the gap — but not the rest.</w:t>
      </w:r>
    </w:p>
    <w:p>
      <w:pPr>
        <w:spacing w:after="60"/>
      </w:pPr>
      <w:r>
        <w:rPr>
          <w:b w:val="0"/>
          <w:color w:val="111111"/>
          <w:sz w:val="20"/>
        </w:rPr>
        <w:t>Some decay is real: a foundation and a site setup are paid once and spread over more floor area. We have no mechanism left that explains the remainder.</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268"/>
        <w:gridCol w:w="3402"/>
      </w:tblGrid>
      <w:tr>
        <w:trPr>
          <w:cantSplit/>
          <w:tblHeader w:val="true"/>
        </w:trPr>
        <w:tc>
          <w:tcPr>
            <w:tcW w:type="dxa" w:w="2268"/>
            <w:shd w:fill="EDEDED"/>
          </w:tcPr>
          <w:p>
            <w:pPr>
              <w:spacing w:after="20"/>
            </w:pPr>
            <w:r>
              <w:rPr>
                <w:b/>
                <w:sz w:val="19"/>
              </w:rPr>
              <w:t>Storeys</w:t>
            </w:r>
          </w:p>
        </w:tc>
        <w:tc>
          <w:tcPr>
            <w:tcW w:type="dxa" w:w="3402"/>
            <w:shd w:fill="EDEDED"/>
          </w:tcPr>
          <w:p>
            <w:pPr>
              <w:spacing w:after="20"/>
            </w:pPr>
            <w:r>
              <w:rPr>
                <w:b/>
                <w:sz w:val="19"/>
              </w:rPr>
              <w:t>Our cost ÷ rule of thumb</w:t>
            </w:r>
          </w:p>
        </w:tc>
      </w:tr>
      <w:tr>
        <w:trPr>
          <w:cantSplit/>
        </w:trPr>
        <w:tc>
          <w:tcPr>
            <w:tcW w:type="dxa" w:w="2268"/>
          </w:tcPr>
          <w:p>
            <w:pPr>
              <w:spacing w:after="20"/>
            </w:pPr>
            <w:r>
              <w:rPr>
                <w:b w:val="0"/>
                <w:color w:val="111111"/>
                <w:sz w:val="19"/>
              </w:rPr>
              <w:t>1</w:t>
            </w:r>
          </w:p>
        </w:tc>
        <w:tc>
          <w:tcPr>
            <w:tcW w:type="dxa" w:w="3402"/>
          </w:tcPr>
          <w:p>
            <w:pPr>
              <w:spacing w:after="20"/>
            </w:pPr>
            <w:r>
              <w:rPr>
                <w:b w:val="0"/>
                <w:color w:val="111111"/>
                <w:sz w:val="19"/>
              </w:rPr>
              <w:t>1.29</w:t>
            </w:r>
          </w:p>
        </w:tc>
      </w:tr>
      <w:tr>
        <w:trPr>
          <w:cantSplit/>
        </w:trPr>
        <w:tc>
          <w:tcPr>
            <w:tcW w:type="dxa" w:w="2268"/>
          </w:tcPr>
          <w:p>
            <w:pPr>
              <w:spacing w:after="20"/>
            </w:pPr>
            <w:r>
              <w:rPr>
                <w:b w:val="0"/>
                <w:color w:val="111111"/>
                <w:sz w:val="19"/>
              </w:rPr>
              <w:t>2</w:t>
            </w:r>
          </w:p>
        </w:tc>
        <w:tc>
          <w:tcPr>
            <w:tcW w:type="dxa" w:w="3402"/>
          </w:tcPr>
          <w:p>
            <w:pPr>
              <w:spacing w:after="20"/>
            </w:pPr>
            <w:r>
              <w:rPr>
                <w:b w:val="0"/>
                <w:color w:val="111111"/>
                <w:sz w:val="19"/>
              </w:rPr>
              <w:t>0.84</w:t>
            </w:r>
          </w:p>
        </w:tc>
      </w:tr>
      <w:tr>
        <w:trPr>
          <w:cantSplit/>
        </w:trPr>
        <w:tc>
          <w:tcPr>
            <w:tcW w:type="dxa" w:w="2268"/>
          </w:tcPr>
          <w:p>
            <w:pPr>
              <w:spacing w:after="20"/>
            </w:pPr>
            <w:r>
              <w:rPr>
                <w:b w:val="0"/>
                <w:color w:val="111111"/>
                <w:sz w:val="19"/>
              </w:rPr>
              <w:t>4</w:t>
            </w:r>
          </w:p>
        </w:tc>
        <w:tc>
          <w:tcPr>
            <w:tcW w:type="dxa" w:w="3402"/>
          </w:tcPr>
          <w:p>
            <w:pPr>
              <w:spacing w:after="20"/>
            </w:pPr>
            <w:r>
              <w:rPr>
                <w:b w:val="0"/>
                <w:color w:val="111111"/>
                <w:sz w:val="19"/>
              </w:rPr>
              <w:t>0.70</w:t>
            </w:r>
          </w:p>
        </w:tc>
      </w:tr>
      <w:tr>
        <w:trPr>
          <w:cantSplit/>
        </w:trPr>
        <w:tc>
          <w:tcPr>
            <w:tcW w:type="dxa" w:w="2268"/>
          </w:tcPr>
          <w:p>
            <w:pPr>
              <w:spacing w:after="20"/>
            </w:pPr>
            <w:r>
              <w:rPr>
                <w:b w:val="0"/>
                <w:color w:val="111111"/>
                <w:sz w:val="19"/>
              </w:rPr>
              <w:t>8</w:t>
            </w:r>
          </w:p>
        </w:tc>
        <w:tc>
          <w:tcPr>
            <w:tcW w:type="dxa" w:w="3402"/>
          </w:tcPr>
          <w:p>
            <w:pPr>
              <w:spacing w:after="20"/>
            </w:pPr>
            <w:r>
              <w:rPr>
                <w:b w:val="0"/>
                <w:color w:val="111111"/>
                <w:sz w:val="19"/>
              </w:rPr>
              <w:t>0.63</w:t>
            </w:r>
          </w:p>
        </w:tc>
      </w:tr>
      <w:tr>
        <w:trPr>
          <w:cantSplit/>
        </w:trPr>
        <w:tc>
          <w:tcPr>
            <w:tcW w:type="dxa" w:w="2268"/>
          </w:tcPr>
          <w:p>
            <w:pPr>
              <w:spacing w:after="20"/>
            </w:pPr>
            <w:r>
              <w:rPr>
                <w:b w:val="0"/>
                <w:color w:val="111111"/>
                <w:sz w:val="19"/>
              </w:rPr>
              <w:t>12</w:t>
            </w:r>
          </w:p>
        </w:tc>
        <w:tc>
          <w:tcPr>
            <w:tcW w:type="dxa" w:w="3402"/>
          </w:tcPr>
          <w:p>
            <w:pPr>
              <w:spacing w:after="20"/>
            </w:pPr>
            <w:r>
              <w:rPr>
                <w:b w:val="0"/>
                <w:color w:val="111111"/>
                <w:sz w:val="19"/>
              </w:rPr>
              <w:t>0.61</w:t>
            </w:r>
          </w:p>
        </w:tc>
      </w:tr>
    </w:tbl>
    <w:p>
      <w:pPr>
        <w:spacing w:after="40"/>
      </w:pPr>
    </w:p>
    <w:p>
      <w:pPr>
        <w:spacing w:after="40"/>
      </w:pPr>
      <w:r>
        <w:rPr>
          <w:b/>
          <w:color w:val="111111"/>
          <w:sz w:val="20"/>
        </w:rPr>
        <w:t>What we have assumed in the meantime</w:t>
      </w:r>
    </w:p>
    <w:p>
      <w:pPr>
        <w:spacing w:after="80"/>
      </w:pPr>
      <w:r>
        <w:rPr>
          <w:b w:val="0"/>
          <w:color w:val="111111"/>
          <w:sz w:val="20"/>
        </w:rPr>
        <w:t>That the remaining decay is correct, which we do not actually believe.</w:t>
      </w:r>
    </w:p>
    <w:p>
      <w:pPr>
        <w:spacing w:after="40"/>
      </w:pPr>
      <w:r>
        <w:rPr>
          <w:b/>
          <w:color w:val="111111"/>
          <w:sz w:val="20"/>
        </w:rPr>
        <w:t>What we need from you</w:t>
      </w:r>
    </w:p>
    <w:p>
      <w:r>
        <w:rPr>
          <w:b/>
          <w:color w:val="111111"/>
          <w:sz w:val="21"/>
        </w:rPr>
        <w:t>Is losing about half the rate per m² over eight storeys right, or should a tall building cost nearer a flat rate per m²?</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p>
            <w:pPr>
              <w:spacing w:after="0"/>
            </w:pPr>
          </w:p>
        </w:tc>
      </w:tr>
    </w:tbl>
    <w:p>
      <w:pPr>
        <w:spacing w:after="80"/>
      </w:pPr>
    </w:p>
    <w:p>
      <w:pPr>
        <w:spacing w:after="40"/>
      </w:pPr>
      <w:r>
        <w:rPr>
          <w:b/>
          <w:color w:val="111111"/>
          <w:sz w:val="20"/>
        </w:rPr>
        <w:t>Two smaller ones in the same area.</w:t>
      </w:r>
    </w:p>
    <w:p>
      <w:pPr>
        <w:spacing w:after="60"/>
      </w:pPr>
      <w:r>
        <w:rPr>
          <w:b w:val="0"/>
          <w:color w:val="111111"/>
          <w:sz w:val="20"/>
        </w:rPr>
        <w:t>Should a bungalow be charged a suspended floor slab at all? We charge one today. A single-storey building under a pitched roof does not have one — but no document in the set is a bungalow, so there is nothing to calibrate against, and it is the commonest building our clients ask for.</w:t>
      </w:r>
    </w:p>
    <w:p>
      <w:pPr>
        <w:spacing w:after="60"/>
      </w:pPr>
      <w:r>
        <w:rPr>
          <w:b w:val="0"/>
          <w:color w:val="111111"/>
          <w:sz w:val="20"/>
        </w:rPr>
        <w:t>Partition walls and bathroom tiling scale with the total room count rather than per floor, so a tall building with a fixed number of rooms gets a shrinking allowance per floor. Is that right?</w:t>
      </w: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pageBreakBefore/>
        <w:spacing w:before="40" w:after="140"/>
        <w:pBdr>
          <w:bottom w:val="single" w:sz="8" w:space="3" w:color="111111"/>
        </w:pBdr>
      </w:pPr>
      <w:r>
        <w:rPr>
          <w:b/>
          <w:color w:val="111111"/>
          <w:sz w:val="30"/>
        </w:rPr>
        <w:t>The price book, and Nigeria</w:t>
      </w:r>
    </w:p>
    <w:p>
      <w:pPr>
        <w:spacing w:after="120"/>
      </w:pPr>
      <w:r>
        <w:rPr>
          <w:b w:val="0"/>
          <w:color w:val="111111"/>
          <w:sz w:val="21"/>
        </w:rPr>
        <w:t xml:space="preserve">The </w:t>
      </w:r>
      <w:r>
        <w:rPr>
          <w:b/>
          <w:color w:val="111111"/>
          <w:sz w:val="21"/>
        </w:rPr>
        <w:t>unit cost calculation</w:t>
      </w:r>
      <w:r>
        <w:rPr>
          <w:b w:val="0"/>
          <w:color w:val="111111"/>
          <w:sz w:val="21"/>
        </w:rPr>
        <w:t xml:space="preserve"> sheet — eight cities, built up from cement, sand, gravel, steel, formwork, labour, water and equipment plus 25% overhead and profit — is now the basis of everything we price. It cross-checks well: each document’s own concrete rate matches its own city’s column.</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1928"/>
        <w:gridCol w:w="1814"/>
        <w:gridCol w:w="3402"/>
        <w:gridCol w:w="2154"/>
      </w:tblGrid>
      <w:tr>
        <w:trPr>
          <w:cantSplit/>
          <w:tblHeader w:val="true"/>
        </w:trPr>
        <w:tc>
          <w:tcPr>
            <w:tcW w:type="dxa" w:w="1928"/>
            <w:shd w:fill="EDEDED"/>
          </w:tcPr>
          <w:p>
            <w:pPr>
              <w:spacing w:after="20"/>
            </w:pPr>
            <w:r>
              <w:rPr>
                <w:b/>
                <w:sz w:val="19"/>
              </w:rPr>
              <w:t>Document</w:t>
            </w:r>
          </w:p>
        </w:tc>
        <w:tc>
          <w:tcPr>
            <w:tcW w:type="dxa" w:w="1814"/>
            <w:shd w:fill="EDEDED"/>
          </w:tcPr>
          <w:p>
            <w:pPr>
              <w:spacing w:after="20"/>
            </w:pPr>
            <w:r>
              <w:rPr>
                <w:b/>
                <w:sz w:val="19"/>
              </w:rPr>
              <w:t>City</w:t>
            </w:r>
          </w:p>
        </w:tc>
        <w:tc>
          <w:tcPr>
            <w:tcW w:type="dxa" w:w="3402"/>
            <w:shd w:fill="EDEDED"/>
          </w:tcPr>
          <w:p>
            <w:pPr>
              <w:spacing w:after="20"/>
            </w:pPr>
            <w:r>
              <w:rPr>
                <w:b/>
                <w:sz w:val="19"/>
              </w:rPr>
              <w:t>Concrete rate in the document</w:t>
            </w:r>
          </w:p>
        </w:tc>
        <w:tc>
          <w:tcPr>
            <w:tcW w:type="dxa" w:w="2154"/>
            <w:shd w:fill="EDEDED"/>
          </w:tcPr>
          <w:p>
            <w:pPr>
              <w:spacing w:after="20"/>
            </w:pPr>
            <w:r>
              <w:rPr>
                <w:b/>
                <w:sz w:val="19"/>
              </w:rPr>
              <w:t>Matches the book?</w:t>
            </w:r>
          </w:p>
        </w:tc>
      </w:tr>
      <w:tr>
        <w:trPr>
          <w:cantSplit/>
        </w:trPr>
        <w:tc>
          <w:tcPr>
            <w:tcW w:type="dxa" w:w="1928"/>
          </w:tcPr>
          <w:p>
            <w:pPr>
              <w:spacing w:after="20"/>
            </w:pPr>
            <w:r>
              <w:rPr>
                <w:b w:val="0"/>
                <w:color w:val="111111"/>
                <w:sz w:val="19"/>
              </w:rPr>
              <w:t>1  Rose</w:t>
            </w:r>
          </w:p>
        </w:tc>
        <w:tc>
          <w:tcPr>
            <w:tcW w:type="dxa" w:w="1814"/>
          </w:tcPr>
          <w:p>
            <w:pPr>
              <w:spacing w:after="20"/>
            </w:pPr>
            <w:r>
              <w:rPr>
                <w:b w:val="0"/>
                <w:color w:val="111111"/>
                <w:sz w:val="19"/>
              </w:rPr>
              <w:t>Yaoundé</w:t>
            </w:r>
          </w:p>
        </w:tc>
        <w:tc>
          <w:tcPr>
            <w:tcW w:type="dxa" w:w="3402"/>
          </w:tcPr>
          <w:p>
            <w:pPr>
              <w:spacing w:after="20"/>
            </w:pPr>
            <w:r>
              <w:rPr>
                <w:b w:val="0"/>
                <w:color w:val="111111"/>
                <w:sz w:val="19"/>
              </w:rPr>
              <w:t>180,000</w:t>
            </w:r>
          </w:p>
        </w:tc>
        <w:tc>
          <w:tcPr>
            <w:tcW w:type="dxa" w:w="2154"/>
          </w:tcPr>
          <w:p>
            <w:pPr>
              <w:spacing w:after="20"/>
            </w:pPr>
            <w:r>
              <w:rPr>
                <w:b w:val="0"/>
                <w:color w:val="111111"/>
                <w:sz w:val="19"/>
              </w:rPr>
              <w:t>yes</w:t>
            </w:r>
          </w:p>
        </w:tc>
      </w:tr>
      <w:tr>
        <w:trPr>
          <w:cantSplit/>
        </w:trPr>
        <w:tc>
          <w:tcPr>
            <w:tcW w:type="dxa" w:w="1928"/>
          </w:tcPr>
          <w:p>
            <w:pPr>
              <w:spacing w:after="20"/>
            </w:pPr>
            <w:r>
              <w:rPr>
                <w:b w:val="0"/>
                <w:color w:val="111111"/>
                <w:sz w:val="19"/>
              </w:rPr>
              <w:t>2  Buea</w:t>
            </w:r>
          </w:p>
        </w:tc>
        <w:tc>
          <w:tcPr>
            <w:tcW w:type="dxa" w:w="1814"/>
          </w:tcPr>
          <w:p>
            <w:pPr>
              <w:spacing w:after="20"/>
            </w:pPr>
            <w:r>
              <w:rPr>
                <w:b w:val="0"/>
                <w:color w:val="111111"/>
                <w:sz w:val="19"/>
              </w:rPr>
              <w:t>Buea</w:t>
            </w:r>
          </w:p>
        </w:tc>
        <w:tc>
          <w:tcPr>
            <w:tcW w:type="dxa" w:w="3402"/>
          </w:tcPr>
          <w:p>
            <w:pPr>
              <w:spacing w:after="20"/>
            </w:pPr>
            <w:r>
              <w:rPr>
                <w:b w:val="0"/>
                <w:color w:val="111111"/>
                <w:sz w:val="19"/>
              </w:rPr>
              <w:t>190,000</w:t>
            </w:r>
          </w:p>
        </w:tc>
        <w:tc>
          <w:tcPr>
            <w:tcW w:type="dxa" w:w="2154"/>
          </w:tcPr>
          <w:p>
            <w:pPr>
              <w:spacing w:after="20"/>
            </w:pPr>
            <w:r>
              <w:rPr>
                <w:b w:val="0"/>
                <w:color w:val="111111"/>
                <w:sz w:val="19"/>
              </w:rPr>
              <w:t>yes</w:t>
            </w:r>
          </w:p>
        </w:tc>
      </w:tr>
      <w:tr>
        <w:trPr>
          <w:cantSplit/>
        </w:trPr>
        <w:tc>
          <w:tcPr>
            <w:tcW w:type="dxa" w:w="1928"/>
          </w:tcPr>
          <w:p>
            <w:pPr>
              <w:spacing w:after="20"/>
            </w:pPr>
            <w:r>
              <w:rPr>
                <w:b w:val="0"/>
                <w:color w:val="111111"/>
                <w:sz w:val="19"/>
              </w:rPr>
              <w:t>3  Naka</w:t>
            </w:r>
          </w:p>
        </w:tc>
        <w:tc>
          <w:tcPr>
            <w:tcW w:type="dxa" w:w="1814"/>
          </w:tcPr>
          <w:p>
            <w:pPr>
              <w:spacing w:after="20"/>
            </w:pPr>
            <w:r>
              <w:rPr>
                <w:b w:val="0"/>
                <w:color w:val="111111"/>
                <w:sz w:val="19"/>
              </w:rPr>
              <w:t>Bamenda</w:t>
            </w:r>
          </w:p>
        </w:tc>
        <w:tc>
          <w:tcPr>
            <w:tcW w:type="dxa" w:w="3402"/>
          </w:tcPr>
          <w:p>
            <w:pPr>
              <w:spacing w:after="20"/>
            </w:pPr>
            <w:r>
              <w:rPr>
                <w:b w:val="0"/>
                <w:color w:val="111111"/>
                <w:sz w:val="19"/>
              </w:rPr>
              <w:t>190,000</w:t>
            </w:r>
          </w:p>
        </w:tc>
        <w:tc>
          <w:tcPr>
            <w:tcW w:type="dxa" w:w="2154"/>
          </w:tcPr>
          <w:p>
            <w:pPr>
              <w:spacing w:after="20"/>
            </w:pPr>
            <w:r>
              <w:rPr>
                <w:b w:val="0"/>
                <w:color w:val="111111"/>
                <w:sz w:val="19"/>
              </w:rPr>
              <w:t>yes</w:t>
            </w:r>
          </w:p>
        </w:tc>
      </w:tr>
      <w:tr>
        <w:trPr>
          <w:cantSplit/>
        </w:trPr>
        <w:tc>
          <w:tcPr>
            <w:tcW w:type="dxa" w:w="1928"/>
          </w:tcPr>
          <w:p>
            <w:pPr>
              <w:spacing w:after="20"/>
            </w:pPr>
            <w:r>
              <w:rPr>
                <w:b w:val="0"/>
                <w:color w:val="111111"/>
                <w:sz w:val="19"/>
              </w:rPr>
              <w:t>4  Mpangou</w:t>
            </w:r>
          </w:p>
        </w:tc>
        <w:tc>
          <w:tcPr>
            <w:tcW w:type="dxa" w:w="1814"/>
          </w:tcPr>
          <w:p>
            <w:pPr>
              <w:spacing w:after="20"/>
            </w:pPr>
            <w:r>
              <w:rPr>
                <w:b w:val="0"/>
                <w:color w:val="111111"/>
                <w:sz w:val="19"/>
              </w:rPr>
              <w:t>Kribi</w:t>
            </w:r>
          </w:p>
        </w:tc>
        <w:tc>
          <w:tcPr>
            <w:tcW w:type="dxa" w:w="3402"/>
          </w:tcPr>
          <w:p>
            <w:pPr>
              <w:spacing w:after="20"/>
            </w:pPr>
            <w:r>
              <w:rPr>
                <w:b w:val="0"/>
                <w:color w:val="111111"/>
                <w:sz w:val="19"/>
              </w:rPr>
              <w:t>179,000</w:t>
            </w:r>
          </w:p>
        </w:tc>
        <w:tc>
          <w:tcPr>
            <w:tcW w:type="dxa" w:w="2154"/>
          </w:tcPr>
          <w:p>
            <w:pPr>
              <w:spacing w:after="20"/>
            </w:pPr>
            <w:r>
              <w:rPr>
                <w:b w:val="0"/>
                <w:color w:val="111111"/>
                <w:sz w:val="19"/>
              </w:rPr>
              <w:t>yes</w:t>
            </w:r>
          </w:p>
        </w:tc>
      </w:tr>
    </w:tbl>
    <w:p>
      <w:pPr>
        <w:spacing w:after="40"/>
      </w:pPr>
    </w:p>
    <w:p>
      <w:pPr>
        <w:spacing w:after="120"/>
      </w:pPr>
      <w:r>
        <w:rPr>
          <w:b w:val="0"/>
          <w:color w:val="111111"/>
          <w:sz w:val="21"/>
        </w:rPr>
        <w:t xml:space="preserve">Two notes on that book. </w:t>
      </w:r>
      <w:r>
        <w:rPr>
          <w:b/>
          <w:color w:val="111111"/>
          <w:sz w:val="21"/>
        </w:rPr>
        <w:t>Bali is now listed as Bamenda</w:t>
      </w:r>
      <w:r>
        <w:rPr>
          <w:b w:val="0"/>
          <w:color w:val="111111"/>
          <w:sz w:val="21"/>
        </w:rPr>
        <w:t xml:space="preserve"> in the app, carrying the same rates. And </w:t>
      </w:r>
      <w:r>
        <w:rPr>
          <w:b/>
          <w:color w:val="111111"/>
          <w:sz w:val="21"/>
        </w:rPr>
        <w:t>Adamawa</w:t>
      </w:r>
      <w:r>
        <w:rPr>
          <w:b w:val="0"/>
          <w:color w:val="111111"/>
          <w:sz w:val="21"/>
        </w:rPr>
        <w:t xml:space="preserve"> is covered in Question 11 above.</w:t>
      </w:r>
    </w:p>
    <w:tbl>
      <w:tblPr>
        <w:tblW w:type="auto" w:w="0"/>
        <w:jc w:val="left"/>
        <w:tblLayout w:type="fixed"/>
        <w:tblLook w:firstColumn="1" w:firstRow="1" w:lastColumn="0" w:lastRow="0" w:noHBand="0" w:noVBand="1" w:val="04A0"/>
        <w:tblLayout w:type="fixed"/>
        <w:tblBorders>
          <w:top w:val="single" w:sz="6" w:color="A02020"/>
          <w:left w:val="single" w:sz="6" w:color="A02020"/>
          <w:bottom w:val="single" w:sz="6" w:color="A02020"/>
          <w:right w:val="single" w:sz="6" w:color="A02020"/>
          <w:insideH w:val="single" w:sz="6" w:color="A02020"/>
          <w:insideV w:val="single" w:sz="6" w:color="A02020"/>
        </w:tblBorders>
      </w:tblPr>
      <w:tblGrid>
        <w:gridCol w:w="9298"/>
      </w:tblGrid>
      <w:tr>
        <w:tc>
          <w:tcPr>
            <w:tcW w:type="dxa" w:w="9298"/>
            <w:shd w:fill="FDF3F3"/>
          </w:tcPr>
          <w:p>
            <w:pPr>
              <w:spacing w:after="0"/>
            </w:pPr>
            <w:r>
              <w:rPr>
                <w:b/>
                <w:color w:val="A02020"/>
                <w:sz w:val="20"/>
              </w:rPr>
              <w:t>Nigeria — we are guessing, and would rather not.</w:t>
            </w:r>
            <w:r>
              <w:rPr>
                <w:b w:val="0"/>
                <w:color w:val="A02020"/>
                <w:sz w:val="20"/>
              </w:rPr>
              <w:t xml:space="preserve">  Abuja sits at 450,000 XAF/m³ in the book, 2.5 times Douala. We currently hold three different Nigerian base rates in our own system — 672, 1,600 and 180 USD per m² — and not one of them has a Nigerian bill of quantities behind it.</w:t>
              <w:br/>
              <w:br/>
            </w:r>
            <w:r>
              <w:rPr>
                <w:b/>
                <w:color w:val="A02020"/>
                <w:sz w:val="20"/>
              </w:rPr>
              <w:t>Do you have a Nigerian BQ, or know someone who would share one?</w:t>
            </w:r>
            <w:r>
              <w:rPr>
                <w:b w:val="0"/>
                <w:color w:val="A02020"/>
                <w:sz w:val="20"/>
              </w:rPr>
              <w:t xml:space="preserve">  Until then we will keep saying on screen that Nigerian figures are unverified.</w:t>
            </w:r>
          </w:p>
        </w:tc>
      </w:tr>
    </w:tbl>
    <w:p>
      <w:pPr>
        <w:spacing w:after="40"/>
      </w:pPr>
    </w:p>
    <w:tbl>
      <w:tblPr>
        <w:tblW w:type="auto" w:w="0"/>
        <w:jc w:val="left"/>
        <w:tblLayout w:type="fixed"/>
        <w:tblLook w:firstColumn="1" w:firstRow="1" w:lastColumn="0" w:lastRow="0" w:noHBand="0" w:noVBand="1" w:val="04A0"/>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9298"/>
      </w:tblGrid>
      <w:tr>
        <w:tc>
          <w:tcPr>
            <w:tcW w:type="dxa" w:w="9298"/>
          </w:tcPr>
          <w:p>
            <w:pPr>
              <w:spacing w:after="0"/>
            </w:pPr>
            <w:r>
              <w:rPr>
                <w:color w:val="666666"/>
                <w:sz w:val="17"/>
              </w:rPr>
              <w:t>Your answer</w:t>
            </w:r>
          </w:p>
          <w:p>
            <w:pPr>
              <w:spacing w:after="0"/>
            </w:pPr>
          </w:p>
          <w:p>
            <w:pPr>
              <w:spacing w:after="0"/>
            </w:pPr>
          </w:p>
          <w:p>
            <w:pPr>
              <w:spacing w:after="0"/>
            </w:pPr>
          </w:p>
        </w:tc>
      </w:tr>
    </w:tbl>
    <w:p>
      <w:pPr>
        <w:spacing w:after="80"/>
      </w:pPr>
    </w:p>
    <w:p>
      <w:pPr>
        <w:pageBreakBefore/>
        <w:spacing w:before="40" w:after="140"/>
        <w:pBdr>
          <w:bottom w:val="single" w:sz="8" w:space="3" w:color="111111"/>
        </w:pBdr>
      </w:pPr>
      <w:r>
        <w:rPr>
          <w:b/>
          <w:color w:val="111111"/>
          <w:sz w:val="30"/>
        </w:rPr>
        <w:t>What each answer would let us do</w:t>
      </w:r>
    </w:p>
    <w:tbl>
      <w:tblPr>
        <w:tblW w:type="auto" w:w="0"/>
        <w:jc w:val="left"/>
        <w:tblLayout w:type="fixed"/>
        <w:tblLook w:firstColumn="1" w:firstRow="1" w:lastColumn="0" w:lastRow="0" w:noHBand="0" w:noVBand="1" w:val="04A0"/>
        <w:tblLayout w:type="fixed"/>
        <w:tblBorders>
          <w:top w:val="single" w:sz="4" w:color="BBBBBB"/>
          <w:left w:val="single" w:sz="4" w:color="BBBBBB"/>
          <w:bottom w:val="single" w:sz="4" w:color="BBBBBB"/>
          <w:right w:val="single" w:sz="4" w:color="BBBBBB"/>
          <w:insideH w:val="single" w:sz="4" w:color="BBBBBB"/>
          <w:insideV w:val="single" w:sz="4" w:color="BBBBBB"/>
        </w:tblBorders>
      </w:tblPr>
      <w:tblGrid>
        <w:gridCol w:w="2041"/>
        <w:gridCol w:w="7257"/>
      </w:tblGrid>
      <w:tr>
        <w:trPr>
          <w:cantSplit/>
          <w:tblHeader w:val="true"/>
        </w:trPr>
        <w:tc>
          <w:tcPr>
            <w:tcW w:type="dxa" w:w="2041"/>
            <w:shd w:fill="EDEDED"/>
          </w:tcPr>
          <w:p>
            <w:pPr>
              <w:spacing w:after="20"/>
            </w:pPr>
            <w:r>
              <w:rPr>
                <w:b/>
                <w:sz w:val="19"/>
              </w:rPr>
              <w:t>Questions</w:t>
            </w:r>
          </w:p>
        </w:tc>
        <w:tc>
          <w:tcPr>
            <w:tcW w:type="dxa" w:w="7257"/>
            <w:shd w:fill="EDEDED"/>
          </w:tcPr>
          <w:p>
            <w:pPr>
              <w:spacing w:after="20"/>
            </w:pPr>
            <w:r>
              <w:rPr>
                <w:b/>
                <w:sz w:val="19"/>
              </w:rPr>
              <w:t>What changes</w:t>
            </w:r>
          </w:p>
        </w:tc>
      </w:tr>
      <w:tr>
        <w:trPr>
          <w:cantSplit/>
        </w:trPr>
        <w:tc>
          <w:tcPr>
            <w:tcW w:type="dxa" w:w="2041"/>
          </w:tcPr>
          <w:p>
            <w:pPr>
              <w:spacing w:after="20"/>
            </w:pPr>
            <w:r>
              <w:rPr>
                <w:b w:val="0"/>
                <w:color w:val="111111"/>
                <w:sz w:val="19"/>
              </w:rPr>
              <w:t>1, 3, 4, 6, 7</w:t>
            </w:r>
          </w:p>
        </w:tc>
        <w:tc>
          <w:tcPr>
            <w:tcW w:type="dxa" w:w="7257"/>
          </w:tcPr>
          <w:p>
            <w:pPr>
              <w:spacing w:after="20"/>
            </w:pPr>
            <w:r>
              <w:rPr>
                <w:b w:val="0"/>
                <w:color w:val="111111"/>
                <w:sz w:val="19"/>
              </w:rPr>
              <w:t>We stop excluding documents from calibration, and can tighten our stated accuracy from roughly ±25–35% toward ±10%</w:t>
            </w:r>
          </w:p>
        </w:tc>
      </w:tr>
      <w:tr>
        <w:trPr>
          <w:cantSplit/>
        </w:trPr>
        <w:tc>
          <w:tcPr>
            <w:tcW w:type="dxa" w:w="2041"/>
          </w:tcPr>
          <w:p>
            <w:pPr>
              <w:spacing w:after="20"/>
            </w:pPr>
            <w:r>
              <w:rPr>
                <w:b w:val="0"/>
                <w:color w:val="111111"/>
                <w:sz w:val="19"/>
              </w:rPr>
              <w:t>5, 9, 15</w:t>
            </w:r>
          </w:p>
        </w:tc>
        <w:tc>
          <w:tcPr>
            <w:tcW w:type="dxa" w:w="7257"/>
          </w:tcPr>
          <w:p>
            <w:pPr>
              <w:spacing w:after="20"/>
            </w:pPr>
            <w:r>
              <w:rPr>
                <w:b w:val="0"/>
                <w:color w:val="111111"/>
                <w:sz w:val="19"/>
              </w:rPr>
              <w:t>Contractors can price against our lines without translating them into their own first</w:t>
            </w:r>
          </w:p>
        </w:tc>
      </w:tr>
      <w:tr>
        <w:trPr>
          <w:cantSplit/>
        </w:trPr>
        <w:tc>
          <w:tcPr>
            <w:tcW w:type="dxa" w:w="2041"/>
          </w:tcPr>
          <w:p>
            <w:pPr>
              <w:spacing w:after="20"/>
            </w:pPr>
            <w:r>
              <w:rPr>
                <w:b w:val="0"/>
                <w:color w:val="111111"/>
                <w:sz w:val="19"/>
              </w:rPr>
              <w:t>10</w:t>
            </w:r>
          </w:p>
        </w:tc>
        <w:tc>
          <w:tcPr>
            <w:tcW w:type="dxa" w:w="7257"/>
          </w:tcPr>
          <w:p>
            <w:pPr>
              <w:spacing w:after="20"/>
            </w:pPr>
            <w:r>
              <w:rPr>
                <w:b w:val="0"/>
                <w:color w:val="111111"/>
                <w:sz w:val="19"/>
              </w:rPr>
              <w:t>Our fixture schedule reproduces all four of your documents instead of three</w:t>
            </w:r>
          </w:p>
        </w:tc>
      </w:tr>
      <w:tr>
        <w:trPr>
          <w:cantSplit/>
        </w:trPr>
        <w:tc>
          <w:tcPr>
            <w:tcW w:type="dxa" w:w="2041"/>
          </w:tcPr>
          <w:p>
            <w:pPr>
              <w:spacing w:after="20"/>
            </w:pPr>
            <w:r>
              <w:rPr>
                <w:b w:val="0"/>
                <w:color w:val="111111"/>
                <w:sz w:val="19"/>
              </w:rPr>
              <w:t>11</w:t>
            </w:r>
          </w:p>
        </w:tc>
        <w:tc>
          <w:tcPr>
            <w:tcW w:type="dxa" w:w="7257"/>
          </w:tcPr>
          <w:p>
            <w:pPr>
              <w:spacing w:after="20"/>
            </w:pPr>
            <w:r>
              <w:rPr>
                <w:b w:val="0"/>
                <w:color w:val="111111"/>
                <w:sz w:val="19"/>
              </w:rPr>
              <w:t>Clients building in Adamawa get a figure we can defend</w:t>
            </w:r>
          </w:p>
        </w:tc>
      </w:tr>
      <w:tr>
        <w:trPr>
          <w:cantSplit/>
        </w:trPr>
        <w:tc>
          <w:tcPr>
            <w:tcW w:type="dxa" w:w="2041"/>
          </w:tcPr>
          <w:p>
            <w:pPr>
              <w:spacing w:after="20"/>
            </w:pPr>
            <w:r>
              <w:rPr>
                <w:b w:val="0"/>
                <w:color w:val="111111"/>
                <w:sz w:val="19"/>
              </w:rPr>
              <w:t>12, 13</w:t>
            </w:r>
          </w:p>
        </w:tc>
        <w:tc>
          <w:tcPr>
            <w:tcW w:type="dxa" w:w="7257"/>
          </w:tcPr>
          <w:p>
            <w:pPr>
              <w:spacing w:after="20"/>
            </w:pPr>
            <w:r>
              <w:rPr>
                <w:b w:val="0"/>
                <w:color w:val="111111"/>
                <w:sz w:val="19"/>
              </w:rPr>
              <w:t>Every roof and floor area the app suggests rests on your figures rather than ours</w:t>
            </w:r>
          </w:p>
        </w:tc>
      </w:tr>
      <w:tr>
        <w:trPr>
          <w:cantSplit/>
        </w:trPr>
        <w:tc>
          <w:tcPr>
            <w:tcW w:type="dxa" w:w="2041"/>
          </w:tcPr>
          <w:p>
            <w:pPr>
              <w:spacing w:after="20"/>
            </w:pPr>
            <w:r>
              <w:rPr>
                <w:b w:val="0"/>
                <w:color w:val="111111"/>
                <w:sz w:val="19"/>
              </w:rPr>
              <w:t>14</w:t>
            </w:r>
          </w:p>
        </w:tc>
        <w:tc>
          <w:tcPr>
            <w:tcW w:type="dxa" w:w="7257"/>
          </w:tcPr>
          <w:p>
            <w:pPr>
              <w:spacing w:after="20"/>
            </w:pPr>
            <w:r>
              <w:rPr>
                <w:b w:val="0"/>
                <w:color w:val="111111"/>
                <w:sz w:val="19"/>
              </w:rPr>
              <w:t>We can quote staff quarters at all</w:t>
            </w:r>
          </w:p>
        </w:tc>
      </w:tr>
      <w:tr>
        <w:trPr>
          <w:cantSplit/>
        </w:trPr>
        <w:tc>
          <w:tcPr>
            <w:tcW w:type="dxa" w:w="2041"/>
          </w:tcPr>
          <w:p>
            <w:pPr>
              <w:spacing w:after="20"/>
            </w:pPr>
            <w:r>
              <w:rPr>
                <w:b w:val="0"/>
                <w:color w:val="111111"/>
                <w:sz w:val="19"/>
              </w:rPr>
              <w:t>16</w:t>
            </w:r>
          </w:p>
        </w:tc>
        <w:tc>
          <w:tcPr>
            <w:tcW w:type="dxa" w:w="7257"/>
          </w:tcPr>
          <w:p>
            <w:pPr>
              <w:spacing w:after="20"/>
            </w:pPr>
            <w:r>
              <w:rPr>
                <w:b w:val="0"/>
                <w:color w:val="111111"/>
                <w:sz w:val="19"/>
              </w:rPr>
              <w:t>We know whether the slab correction landed right or overshot</w:t>
            </w:r>
          </w:p>
        </w:tc>
      </w:tr>
      <w:tr>
        <w:trPr>
          <w:cantSplit/>
        </w:trPr>
        <w:tc>
          <w:tcPr>
            <w:tcW w:type="dxa" w:w="2041"/>
          </w:tcPr>
          <w:p>
            <w:pPr>
              <w:spacing w:after="20"/>
            </w:pPr>
            <w:r>
              <w:rPr>
                <w:b w:val="0"/>
                <w:color w:val="111111"/>
                <w:sz w:val="19"/>
              </w:rPr>
              <w:t>17</w:t>
            </w:r>
          </w:p>
        </w:tc>
        <w:tc>
          <w:tcPr>
            <w:tcW w:type="dxa" w:w="7257"/>
          </w:tcPr>
          <w:p>
            <w:pPr>
              <w:spacing w:after="20"/>
            </w:pPr>
            <w:r>
              <w:rPr>
                <w:b w:val="0"/>
                <w:color w:val="111111"/>
                <w:sz w:val="19"/>
              </w:rPr>
              <w:t>Our low-estimate warning is calibrated against a real benchmark</w:t>
            </w:r>
          </w:p>
        </w:tc>
      </w:tr>
      <w:tr>
        <w:trPr>
          <w:cantSplit/>
        </w:trPr>
        <w:tc>
          <w:tcPr>
            <w:tcW w:type="dxa" w:w="2041"/>
          </w:tcPr>
          <w:p>
            <w:pPr>
              <w:spacing w:after="20"/>
            </w:pPr>
            <w:r>
              <w:rPr>
                <w:b w:val="0"/>
                <w:color w:val="111111"/>
                <w:sz w:val="19"/>
              </w:rPr>
              <w:t>18</w:t>
            </w:r>
          </w:p>
        </w:tc>
        <w:tc>
          <w:tcPr>
            <w:tcW w:type="dxa" w:w="7257"/>
          </w:tcPr>
          <w:p>
            <w:pPr>
              <w:spacing w:after="20"/>
            </w:pPr>
            <w:r>
              <w:rPr>
                <w:b w:val="0"/>
                <w:color w:val="111111"/>
                <w:sz w:val="19"/>
              </w:rPr>
              <w:t>Tall buildings are priced on your judgement, not on an unexplained decay</w:t>
            </w:r>
          </w:p>
        </w:tc>
      </w:tr>
    </w:tbl>
    <w:p>
      <w:pPr>
        <w:spacing w:after="40"/>
      </w:pPr>
    </w:p>
    <w:p>
      <w:pPr>
        <w:spacing w:after="160"/>
      </w:pPr>
      <w:r>
        <w:rPr>
          <w:b/>
          <w:color w:val="111111"/>
          <w:sz w:val="20"/>
        </w:rPr>
        <w:t>If you can only answer three, please make them 17, 18 and 15.</w:t>
      </w:r>
      <w:r>
        <w:rPr>
          <w:b w:val="0"/>
          <w:color w:val="111111"/>
          <w:sz w:val="20"/>
        </w:rPr>
        <w:t xml:space="preserve">  17 and 18 decide whether tall buildings are priced correctly at all — the thing our testers actually complained about — and 15 is nine rates a contractor can currently see marked as our guesses.</w:t>
      </w:r>
    </w:p>
    <w:p>
      <w:pPr>
        <w:spacing w:after="200"/>
      </w:pPr>
      <w:r>
        <w:rPr>
          <w:b w:val="0"/>
          <w:color w:val="111111"/>
          <w:sz w:val="21"/>
        </w:rPr>
        <w:t>If the re-baselined bill of quantities you mentioned is close to ready, several of these would be settled by it at once — we are happy to wait for that rather than take your time twice.</w:t>
      </w:r>
    </w:p>
    <w:p>
      <w:pPr>
        <w:spacing w:after="120"/>
      </w:pPr>
      <w:r>
        <w:rPr>
          <w:b/>
          <w:color w:val="111111"/>
          <w:sz w:val="21"/>
        </w:rPr>
        <w:t>Thank you. Every question here exists because we would rather ask than guess.</w:t>
      </w:r>
    </w:p>
    <w:p>
      <w:pPr>
        <w:spacing w:after="120"/>
      </w:pPr>
      <w:r>
        <w:rPr>
          <w:b w:val="0"/>
          <w:color w:val="666666"/>
          <w:sz w:val="18"/>
        </w:rPr>
        <w:t>Groundwork by Jalla   ·   contact@tryjalla.com</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