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Land Verification Process &amp; Standards Report</w:t>
      </w:r>
    </w:p>
    <w:p>
      <w:r>
        <w:rPr>
          <w:b/>
        </w:rPr>
        <w:t xml:space="preserve">Project: </w:t>
      </w:r>
      <w:r>
        <w:t>Residential Building (Basement, G+1)</w:t>
        <w:br/>
      </w:r>
      <w:r>
        <w:rPr>
          <w:b/>
        </w:rPr>
        <w:t xml:space="preserve">Location: </w:t>
      </w:r>
      <w:r>
        <w:t>Kribi, South Region, Cameroon</w:t>
        <w:br/>
      </w:r>
      <w:r>
        <w:rPr>
          <w:b/>
        </w:rPr>
        <w:t xml:space="preserve">Mandating Codes &amp; Standards: </w:t>
      </w:r>
      <w:r>
        <w:t>ISO 7078 (Surveying &amp; Setting Out), Cameroon Land Tenure Ordinance (1974), MINDCAF Regulations, Local POS (Plan d'Occupation des Sols)</w:t>
      </w:r>
    </w:p>
    <w:p>
      <w:r>
        <w:t>--------------------------------------------------------------------------------</w:t>
      </w:r>
    </w:p>
    <w:p>
      <w:pPr>
        <w:pStyle w:val="Heading1"/>
      </w:pPr>
      <w:r>
        <w:t>1. Regulatory Mandates &amp; Context</w:t>
      </w:r>
    </w:p>
    <w:p>
      <w:r>
        <w:t>Before deploying heavy equipment or commencing basement excavation, the legal, topographical, and municipal status of the plot must be rigorously verified. In Cameroon, land disputes and encroaching on the Maritime Public Domain (Domaine Public Maritime) are significant risks in coastal cities like Kribi. This report ensures compliance with the Ministry of State Property, Surveys and Land Tenure (MINDCAF) and international surveying standards (ISO 7078).</w:t>
      </w:r>
    </w:p>
    <w:p>
      <w:pPr>
        <w:pStyle w:val="Heading2"/>
      </w:pPr>
      <w:r>
        <w:t>2. Sub-Stage 1: Legal &amp; Cadastral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Code Mandate</w:t>
            </w:r>
          </w:p>
        </w:tc>
        <w:tc>
          <w:tcPr>
            <w:tcW w:type="dxa" w:w="2160"/>
          </w:tcPr>
          <w:p>
            <w:r>
              <w:rPr>
                <w:b/>
              </w:rPr>
              <w:t>Methodology</w:t>
            </w:r>
          </w:p>
        </w:tc>
        <w:tc>
          <w:tcPr>
            <w:tcW w:type="dxa" w:w="2160"/>
          </w:tcPr>
          <w:p>
            <w:r>
              <w:rPr>
                <w:b/>
              </w:rPr>
              <w:t>Status</w:t>
            </w:r>
          </w:p>
        </w:tc>
      </w:tr>
      <w:tr>
        <w:tc>
          <w:tcPr>
            <w:tcW w:type="dxa" w:w="2160"/>
          </w:tcPr>
          <w:p>
            <w:r>
              <w:t>Land Title (Titre Foncier)</w:t>
            </w:r>
          </w:p>
        </w:tc>
        <w:tc>
          <w:tcPr>
            <w:tcW w:type="dxa" w:w="2160"/>
          </w:tcPr>
          <w:p>
            <w:r>
              <w:t>Title must be registered, active, and strictly match the client’s identity. (Cameroon Land Ordinance 74-1)</w:t>
            </w:r>
          </w:p>
        </w:tc>
        <w:tc>
          <w:tcPr>
            <w:tcW w:type="dxa" w:w="2160"/>
          </w:tcPr>
          <w:p>
            <w:r>
              <w:t>Conduct a title search/verification at the local MINDCAF registry in Kribi.</w:t>
            </w:r>
          </w:p>
        </w:tc>
        <w:tc>
          <w:tcPr>
            <w:tcW w:type="dxa" w:w="2160"/>
          </w:tcPr>
          <w:p>
            <w:r>
              <w:t>[  ] Pass</w:t>
              <w:br/>
              <w:t>[  ] Fail</w:t>
            </w:r>
          </w:p>
        </w:tc>
      </w:tr>
      <w:tr>
        <w:tc>
          <w:tcPr>
            <w:tcW w:type="dxa" w:w="2160"/>
          </w:tcPr>
          <w:p>
            <w:r>
              <w:t>Property Certificate (Certificat de Propriété)</w:t>
            </w:r>
          </w:p>
        </w:tc>
        <w:tc>
          <w:tcPr>
            <w:tcW w:type="dxa" w:w="2160"/>
          </w:tcPr>
          <w:p>
            <w:r>
              <w:t>Must demonstrate the land is free of mortgages, caveats (prénotations), or pending litigation. Must be &lt; 3 months old.</w:t>
            </w:r>
          </w:p>
        </w:tc>
        <w:tc>
          <w:tcPr>
            <w:tcW w:type="dxa" w:w="2160"/>
          </w:tcPr>
          <w:p>
            <w:r>
              <w:t>Request an updated certificate from the local Land Registrar (Conservateur des Domaines).</w:t>
            </w:r>
          </w:p>
        </w:tc>
        <w:tc>
          <w:tcPr>
            <w:tcW w:type="dxa" w:w="2160"/>
          </w:tcPr>
          <w:p>
            <w:r>
              <w:t>[  ] Pass</w:t>
              <w:br/>
              <w:t>[  ] Fail</w:t>
            </w:r>
          </w:p>
        </w:tc>
      </w:tr>
      <w:tr>
        <w:tc>
          <w:tcPr>
            <w:tcW w:type="dxa" w:w="2160"/>
          </w:tcPr>
          <w:p>
            <w:r>
              <w:t>Cadastral Plan Alignment</w:t>
            </w:r>
          </w:p>
        </w:tc>
        <w:tc>
          <w:tcPr>
            <w:tcW w:type="dxa" w:w="2160"/>
          </w:tcPr>
          <w:p>
            <w:r>
              <w:t>The physical plot dimensions must perfectly match the official Cadastral Plan attached to the Land Title.</w:t>
            </w:r>
          </w:p>
        </w:tc>
        <w:tc>
          <w:tcPr>
            <w:tcW w:type="dxa" w:w="2160"/>
          </w:tcPr>
          <w:p>
            <w:r>
              <w:t>Overlay official cadastral data with the site surveyor's topographic map.</w:t>
            </w:r>
          </w:p>
        </w:tc>
        <w:tc>
          <w:tcPr>
            <w:tcW w:type="dxa" w:w="2160"/>
          </w:tcPr>
          <w:p>
            <w:r>
              <w:t>[  ] Pass</w:t>
              <w:br/>
              <w:t>[  ] Fail</w:t>
            </w:r>
          </w:p>
        </w:tc>
      </w:tr>
    </w:tbl>
    <w:p/>
    <w:p>
      <w:pPr>
        <w:pStyle w:val="Heading2"/>
      </w:pPr>
      <w:r>
        <w:t>3. Sub-Stage 2: Topographical &amp; Boundary Verification (ISO 7078)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Code Mandate</w:t>
            </w:r>
          </w:p>
        </w:tc>
        <w:tc>
          <w:tcPr>
            <w:tcW w:type="dxa" w:w="2160"/>
          </w:tcPr>
          <w:p>
            <w:r>
              <w:rPr>
                <w:b/>
              </w:rPr>
              <w:t>Methodology</w:t>
            </w:r>
          </w:p>
        </w:tc>
        <w:tc>
          <w:tcPr>
            <w:tcW w:type="dxa" w:w="2160"/>
          </w:tcPr>
          <w:p>
            <w:r>
              <w:rPr>
                <w:b/>
              </w:rPr>
              <w:t>Status</w:t>
            </w:r>
          </w:p>
        </w:tc>
      </w:tr>
      <w:tr>
        <w:tc>
          <w:tcPr>
            <w:tcW w:type="dxa" w:w="2160"/>
          </w:tcPr>
          <w:p>
            <w:r>
              <w:t>Boundary Beacons (Bornes)</w:t>
            </w:r>
          </w:p>
        </w:tc>
        <w:tc>
          <w:tcPr>
            <w:tcW w:type="dxa" w:w="2160"/>
          </w:tcPr>
          <w:p>
            <w:r>
              <w:t>Official cadastral beacons must be physically present, undamaged, and correctly positioned. (ISO 7078)</w:t>
            </w:r>
          </w:p>
        </w:tc>
        <w:tc>
          <w:tcPr>
            <w:tcW w:type="dxa" w:w="2160"/>
          </w:tcPr>
          <w:p>
            <w:r>
              <w:t>Registered Surveyor (Géomètre-Expert) must locate and verify GPS coordinates of all beacons.</w:t>
            </w:r>
          </w:p>
        </w:tc>
        <w:tc>
          <w:tcPr>
            <w:tcW w:type="dxa" w:w="2160"/>
          </w:tcPr>
          <w:p>
            <w:r>
              <w:t>[  ] Pass</w:t>
              <w:br/>
              <w:t>[  ] Fail</w:t>
            </w:r>
          </w:p>
        </w:tc>
      </w:tr>
      <w:tr>
        <w:tc>
          <w:tcPr>
            <w:tcW w:type="dxa" w:w="2160"/>
          </w:tcPr>
          <w:p>
            <w:r>
              <w:t>Topographical Survey</w:t>
            </w:r>
          </w:p>
        </w:tc>
        <w:tc>
          <w:tcPr>
            <w:tcW w:type="dxa" w:w="2160"/>
          </w:tcPr>
          <w:p>
            <w:r>
              <w:t>Must include 0.5m contour intervals, existing trees, utility lines, and adjacent structures for basement planning.</w:t>
            </w:r>
          </w:p>
        </w:tc>
        <w:tc>
          <w:tcPr>
            <w:tcW w:type="dxa" w:w="2160"/>
          </w:tcPr>
          <w:p>
            <w:r>
              <w:t>Total Station or RTK GPS survey conducted across the entire site footprint.</w:t>
            </w:r>
          </w:p>
        </w:tc>
        <w:tc>
          <w:tcPr>
            <w:tcW w:type="dxa" w:w="2160"/>
          </w:tcPr>
          <w:p>
            <w:r>
              <w:t>[  ] Pass</w:t>
              <w:br/>
              <w:t>[  ] Fail</w:t>
            </w:r>
          </w:p>
        </w:tc>
      </w:tr>
      <w:tr>
        <w:tc>
          <w:tcPr>
            <w:tcW w:type="dxa" w:w="2160"/>
          </w:tcPr>
          <w:p>
            <w:r>
              <w:t>Site Benchmarks (TBM)</w:t>
            </w:r>
          </w:p>
        </w:tc>
        <w:tc>
          <w:tcPr>
            <w:tcW w:type="dxa" w:w="2160"/>
          </w:tcPr>
          <w:p>
            <w:r>
              <w:t>Temporary Benchmarks (TBM) must be established and tied to the national grid to control excavation depth.</w:t>
            </w:r>
          </w:p>
        </w:tc>
        <w:tc>
          <w:tcPr>
            <w:tcW w:type="dxa" w:w="2160"/>
          </w:tcPr>
          <w:p>
            <w:r>
              <w:t>Verify physical concrete TBMs on-site and check coordinate logic.</w:t>
            </w:r>
          </w:p>
        </w:tc>
        <w:tc>
          <w:tcPr>
            <w:tcW w:type="dxa" w:w="2160"/>
          </w:tcPr>
          <w:p>
            <w:r>
              <w:t>[  ] Pass</w:t>
              <w:br/>
              <w:t>[  ] Fail</w:t>
            </w:r>
          </w:p>
        </w:tc>
      </w:tr>
    </w:tbl>
    <w:p/>
    <w:p>
      <w:pPr>
        <w:pStyle w:val="Heading2"/>
      </w:pPr>
      <w:r>
        <w:t>4. Sub-Stage 3: Zoning &amp; Urban Planning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Code Mandate</w:t>
            </w:r>
          </w:p>
        </w:tc>
        <w:tc>
          <w:tcPr>
            <w:tcW w:type="dxa" w:w="2160"/>
          </w:tcPr>
          <w:p>
            <w:r>
              <w:rPr>
                <w:b/>
              </w:rPr>
              <w:t>Methodology</w:t>
            </w:r>
          </w:p>
        </w:tc>
        <w:tc>
          <w:tcPr>
            <w:tcW w:type="dxa" w:w="2160"/>
          </w:tcPr>
          <w:p>
            <w:r>
              <w:rPr>
                <w:b/>
              </w:rPr>
              <w:t>Status</w:t>
            </w:r>
          </w:p>
        </w:tc>
      </w:tr>
      <w:tr>
        <w:tc>
          <w:tcPr>
            <w:tcW w:type="dxa" w:w="2160"/>
          </w:tcPr>
          <w:p>
            <w:r>
              <w:t>Maritime Public Domain Setback</w:t>
            </w:r>
          </w:p>
        </w:tc>
        <w:tc>
          <w:tcPr>
            <w:tcW w:type="dxa" w:w="2160"/>
          </w:tcPr>
          <w:p>
            <w:r>
              <w:t>Strict adherence to coastal setbacks. No private construction permitted within 50 meters of the high tide mark (Cameroon Coastal Law).</w:t>
            </w:r>
          </w:p>
        </w:tc>
        <w:tc>
          <w:tcPr>
            <w:tcW w:type="dxa" w:w="2160"/>
          </w:tcPr>
          <w:p>
            <w:r>
              <w:t>Physical measurement from the high water mark to the closest proposed building line.</w:t>
            </w:r>
          </w:p>
        </w:tc>
        <w:tc>
          <w:tcPr>
            <w:tcW w:type="dxa" w:w="2160"/>
          </w:tcPr>
          <w:p>
            <w:r>
              <w:t>[  ] Pass</w:t>
              <w:br/>
              <w:t>[  ] Fail</w:t>
            </w:r>
          </w:p>
        </w:tc>
      </w:tr>
      <w:tr>
        <w:tc>
          <w:tcPr>
            <w:tcW w:type="dxa" w:w="2160"/>
          </w:tcPr>
          <w:p>
            <w:r>
              <w:t>Municipal Setbacks (POS)</w:t>
            </w:r>
          </w:p>
        </w:tc>
        <w:tc>
          <w:tcPr>
            <w:tcW w:type="dxa" w:w="2160"/>
          </w:tcPr>
          <w:p>
            <w:r>
              <w:t>Must respect local Plan d'Occupation des Sols (e.g., 2m-4m from side boundaries, 5m from main roads).</w:t>
            </w:r>
          </w:p>
        </w:tc>
        <w:tc>
          <w:tcPr>
            <w:tcW w:type="dxa" w:w="2160"/>
          </w:tcPr>
          <w:p>
            <w:r>
              <w:t>Cross-reference architectural site plan with local Kribi City Council zoning laws.</w:t>
            </w:r>
          </w:p>
        </w:tc>
        <w:tc>
          <w:tcPr>
            <w:tcW w:type="dxa" w:w="2160"/>
          </w:tcPr>
          <w:p>
            <w:r>
              <w:t>[  ] Pass</w:t>
              <w:br/>
              <w:t>[  ] Fail</w:t>
            </w:r>
          </w:p>
        </w:tc>
      </w:tr>
      <w:tr>
        <w:tc>
          <w:tcPr>
            <w:tcW w:type="dxa" w:w="2160"/>
          </w:tcPr>
          <w:p>
            <w:r>
              <w:t>Building Permit (Permis de Bâtir)</w:t>
            </w:r>
          </w:p>
        </w:tc>
        <w:tc>
          <w:tcPr>
            <w:tcW w:type="dxa" w:w="2160"/>
          </w:tcPr>
          <w:p>
            <w:r>
              <w:t>Official permit must be physically posted on a site signboard before any earthworks begin.</w:t>
            </w:r>
          </w:p>
        </w:tc>
        <w:tc>
          <w:tcPr>
            <w:tcW w:type="dxa" w:w="2160"/>
          </w:tcPr>
          <w:p>
            <w:r>
              <w:t>Visual confirmation of the stamped permit and municipal signboard at the site entrance.</w:t>
            </w:r>
          </w:p>
        </w:tc>
        <w:tc>
          <w:tcPr>
            <w:tcW w:type="dxa" w:w="2160"/>
          </w:tcPr>
          <w:p>
            <w:r>
              <w:t>[  ] Pass</w:t>
              <w:br/>
              <w:t>[  ] Fail</w:t>
            </w:r>
          </w:p>
        </w:tc>
      </w:tr>
    </w:tbl>
    <w:p/>
    <w:p>
      <w:pPr>
        <w:pStyle w:val="Heading1"/>
      </w:pPr>
      <w:r>
        <w:t>5. Land Verification Sign-Off</w:t>
      </w:r>
    </w:p>
    <w:p>
      <w:r>
        <w:t>By signing below, the project team certifies that the land is legally secured, free of encumbrances, topographically mapped in accordance with ISO 7078, and that the proposed building footprint respects all municipal and coastal setbacks in Kribi.</w:t>
      </w:r>
    </w:p>
    <w:p>
      <w:r>
        <w:t>Registered Surveyor (Géomètre-Expert): ____________________ Date: _______ Signature: ____________</w:t>
      </w:r>
    </w:p>
    <w:p>
      <w:r>
        <w:t>Project Legal Counsel / Notary: _________________________ Date: _______ Signature: ____________</w:t>
      </w:r>
    </w:p>
    <w:p>
      <w:r>
        <w:t>Project Manager: ________________________________________ Date: _______ Signature: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