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40D909">
      <w:pPr>
        <w:jc w:val="center"/>
      </w:pPr>
      <w:r>
        <w:rPr>
          <w:b/>
          <w:sz w:val="44"/>
        </w:rPr>
        <w:t>Application &amp; Integration Lead — Notebook Handover</w:t>
      </w:r>
    </w:p>
    <w:p w14:paraId="13E023E2">
      <w:pPr>
        <w:jc w:val="center"/>
      </w:pPr>
      <w:r>
        <w:rPr>
          <w:i/>
          <w:sz w:val="20"/>
        </w:rPr>
        <w:t>Group 2 • Telecom Customer Churn Project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1A9F6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E8EEF7"/>
            <w:vAlign w:val="center"/>
          </w:tcPr>
          <w:p w14:paraId="1AE3191A">
            <w:pPr>
              <w:spacing w:after="0" w:line="240" w:lineRule="auto"/>
            </w:pPr>
            <w:r>
              <w:t>Lead</w:t>
            </w:r>
          </w:p>
        </w:tc>
        <w:tc>
          <w:tcPr>
            <w:tcW w:w="4968" w:type="dxa"/>
          </w:tcPr>
          <w:p w14:paraId="22875122">
            <w:pPr>
              <w:spacing w:after="0" w:line="240" w:lineRule="auto"/>
              <w:rPr>
                <w:rFonts w:hint="default"/>
                <w:lang w:val="en-US"/>
              </w:rPr>
            </w:pPr>
            <w:r>
              <w:t>Nze Chim</w:t>
            </w:r>
            <w:r>
              <w:rPr>
                <w:rFonts w:hint="default"/>
                <w:lang w:val="en-US"/>
              </w:rPr>
              <w:t>a</w:t>
            </w:r>
            <w:bookmarkStart w:id="0" w:name="_GoBack"/>
            <w:bookmarkEnd w:id="0"/>
          </w:p>
        </w:tc>
      </w:tr>
      <w:tr w14:paraId="399AC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E8EEF7"/>
            <w:vAlign w:val="center"/>
          </w:tcPr>
          <w:p w14:paraId="6FC63BE5">
            <w:pPr>
              <w:spacing w:after="0" w:line="240" w:lineRule="auto"/>
            </w:pPr>
            <w:r>
              <w:t>Notebook</w:t>
            </w:r>
          </w:p>
        </w:tc>
        <w:tc>
          <w:tcPr>
            <w:tcW w:w="4968" w:type="dxa"/>
          </w:tcPr>
          <w:p w14:paraId="56F572E7">
            <w:pPr>
              <w:spacing w:after="0" w:line="240" w:lineRule="auto"/>
            </w:pPr>
            <w:r>
              <w:t>06_Group2_Application_Integration.ipynb</w:t>
            </w:r>
          </w:p>
        </w:tc>
      </w:tr>
      <w:tr w14:paraId="72012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E8EEF7"/>
            <w:vAlign w:val="center"/>
          </w:tcPr>
          <w:p w14:paraId="47AF46C4">
            <w:pPr>
              <w:spacing w:after="0" w:line="240" w:lineRule="auto"/>
            </w:pPr>
            <w:r>
              <w:t>Purpose</w:t>
            </w:r>
          </w:p>
        </w:tc>
        <w:tc>
          <w:tcPr>
            <w:tcW w:w="4968" w:type="dxa"/>
          </w:tcPr>
          <w:p w14:paraId="1AD9DBBF">
            <w:pPr>
              <w:spacing w:after="0" w:line="240" w:lineRule="auto"/>
            </w:pPr>
            <w:r>
              <w:t>Prepare, validate, and launch the Telecom Customer Churn prototype from Google Colab</w:t>
            </w:r>
          </w:p>
        </w:tc>
      </w:tr>
      <w:tr w14:paraId="0846B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E8EEF7"/>
            <w:vAlign w:val="center"/>
          </w:tcPr>
          <w:p w14:paraId="690172B0">
            <w:pPr>
              <w:spacing w:after="0" w:line="240" w:lineRule="auto"/>
            </w:pPr>
            <w:r>
              <w:t>Deployment environment</w:t>
            </w:r>
          </w:p>
        </w:tc>
        <w:tc>
          <w:tcPr>
            <w:tcW w:w="4968" w:type="dxa"/>
          </w:tcPr>
          <w:p w14:paraId="198C5458">
            <w:pPr>
              <w:spacing w:after="0" w:line="240" w:lineRule="auto"/>
            </w:pPr>
            <w:r>
              <w:t>Google Colab</w:t>
            </w:r>
          </w:p>
        </w:tc>
      </w:tr>
    </w:tbl>
    <w:p w14:paraId="2F7A5621"/>
    <w:p w14:paraId="194B7841">
      <w:pPr>
        <w:pStyle w:val="2"/>
      </w:pPr>
      <w:r>
        <w:t>Handover Scope</w:t>
      </w:r>
    </w:p>
    <w:p w14:paraId="30F529E6">
      <w:r>
        <w:t>This document hands over the Application &amp; Integration notebook that connects the completed machine-learning artifacts to the Streamlit prototype. It documents the notebook's execution flow, validation gates, deployment decisions, and remaining operational considerations.</w:t>
      </w:r>
    </w:p>
    <w:p w14:paraId="35137D35">
      <w:pPr>
        <w:pStyle w:val="2"/>
      </w:pPr>
      <w:r>
        <w:t>1. What Was Done</w:t>
      </w:r>
    </w:p>
    <w:p w14:paraId="436D4D4E">
      <w:r>
        <w:t>The notebook was built as a self-contained Google Colab launch and validation workflow. It installs the required application dependencies, imports the libraries needed for filesystem handling, artifact loading, inference, process management, HTTP health checks, and Colab access, then works directly from the uploaded /content/telecom_churn_app folder without relying on Google Drive.</w:t>
      </w:r>
      <w:r>
        <w:br w:type="textWrapping"/>
      </w:r>
      <w:r>
        <w:br w:type="textWrapping"/>
      </w:r>
      <w:r>
        <w:t>The notebook verifies the application entrypoint and saved model artifacts, inspects the uploaded project structure, loads the preprocessing pipeline and tuned Random Forest, and performs a controlled inference test. It then launches Streamlit as a background process, automatically selects an available port, checks the Streamlit health endpoint, and finally exposes the running application through the Colab browser proxy.</w:t>
      </w:r>
    </w:p>
    <w:p w14:paraId="2081C9F5">
      <w:pPr>
        <w:pStyle w:val="23"/>
      </w:pPr>
      <w:r>
        <w:t>Installed Streamlit 1.50.0 with pandas 2.2.3, scikit-learn 1.6.1, NumPy 2.1.3, and joblib 1.5.3.</w:t>
      </w:r>
    </w:p>
    <w:p w14:paraId="36D797F6">
      <w:pPr>
        <w:pStyle w:val="23"/>
      </w:pPr>
      <w:r>
        <w:t>Centralized the application paths for app.py, the preprocessing artifact, the tuned Random Forest artifact, and the seed-customer file.</w:t>
      </w:r>
    </w:p>
    <w:p w14:paraId="13CD7162">
      <w:pPr>
        <w:pStyle w:val="23"/>
      </w:pPr>
      <w:r>
        <w:t>Validated that the required application and model files exist before deployment.</w:t>
      </w:r>
    </w:p>
    <w:p w14:paraId="32EA0902">
      <w:pPr>
        <w:pStyle w:val="23"/>
      </w:pPr>
      <w:r>
        <w:t>Inspected the uploaded application directory recursively to verify the expected project structure.</w:t>
      </w:r>
    </w:p>
    <w:p w14:paraId="71DAD92A">
      <w:pPr>
        <w:pStyle w:val="23"/>
      </w:pPr>
      <w:r>
        <w:t>Loaded and checked the saved preprocessing pipeline and model, including prediction and probability support.</w:t>
      </w:r>
    </w:p>
    <w:p w14:paraId="2A2581E2">
      <w:pPr>
        <w:pStyle w:val="23"/>
      </w:pPr>
      <w:r>
        <w:t>Ran a representative end-to-end inference test and applied the team's locked 40% churn threshold.</w:t>
      </w:r>
    </w:p>
    <w:p w14:paraId="0499E811">
      <w:pPr>
        <w:pStyle w:val="23"/>
      </w:pPr>
      <w:r>
        <w:t>Started Streamlit in the background and searched ports 8501–8510 for an available port.</w:t>
      </w:r>
    </w:p>
    <w:p w14:paraId="064E3A04">
      <w:pPr>
        <w:pStyle w:val="23"/>
      </w:pPr>
      <w:r>
        <w:t>Used a local Streamlit health endpoint to confirm that the server was actually ready before generating the browser URL.</w:t>
      </w:r>
    </w:p>
    <w:p w14:paraId="21E3D298">
      <w:pPr>
        <w:pStyle w:val="23"/>
      </w:pPr>
      <w:r>
        <w:t>Generated the Colab proxy URL from the verified active port.</w:t>
      </w:r>
    </w:p>
    <w:p w14:paraId="528019C6">
      <w:pPr>
        <w:pStyle w:val="2"/>
      </w:pPr>
      <w:r>
        <w:t>2. What Was Discovered</w:t>
      </w:r>
    </w:p>
    <w:p w14:paraId="4A9EB047">
      <w:r>
        <w:t>The integration work established that the saved preprocessing and model artifacts can be loaded and used for inference in the controlled Colab environment. The prediction path is probability-based, so the application can apply the team's fixed 40% decision threshold rather than relying on an arbitrary runtime classification setting.</w:t>
      </w:r>
      <w:r>
        <w:br w:type="textWrapping"/>
      </w:r>
      <w:r>
        <w:br w:type="textWrapping"/>
      </w:r>
      <w:r>
        <w:t>The deployment environment also showed why a fixed Streamlit port is fragile in Colab: a previous Streamlit process can occupy a port. The notebook therefore treats port selection as a runtime concern and finds an available port automatically. A process being alive is also not treated as proof that the application is ready; the explicit health check provides that verification.</w:t>
      </w:r>
    </w:p>
    <w:p w14:paraId="4C0494AC">
      <w:pPr>
        <w:pStyle w:val="2"/>
      </w:pPr>
      <w:r>
        <w:t>3. What Decisions Were Made</w:t>
      </w:r>
    </w:p>
    <w:p w14:paraId="575DCFB4">
      <w:r>
        <w:t>The notebook uses the uploaded application folder in /content as its single source location and deliberately does not depend on Google Drive. Library versions are pinned to the versions used with the serialized model artifacts. The 40% churn threshold is treated as locked at integration time. Streamlit is launched headlessly in the background, with the Colab-specific server settings required for the notebook proxy environment.</w:t>
      </w:r>
      <w:r>
        <w:br w:type="textWrapping"/>
      </w:r>
      <w:r>
        <w:br w:type="textWrapping"/>
      </w:r>
      <w:r>
        <w:t>The notebook was also structured so that validation happens before the application is exposed. Missing files, artifact-loading failures, process failures, and server-readiness failures are surfaced rather than silently allowing the workflow to continue.</w:t>
      </w:r>
    </w:p>
    <w:p w14:paraId="12DB78A3">
      <w:pPr>
        <w:pStyle w:val="2"/>
      </w:pPr>
      <w:r>
        <w:t>4. What Remains Uncertain or Risky</w:t>
      </w:r>
    </w:p>
    <w:p w14:paraId="6EA447C1">
      <w:r>
        <w:t>The notebook validates the application in Google Colab, so its successful execution confirms the integration path in that environment; it does not by itself guarantee identical behaviour on every hosting platform. The serialized model artifacts remain dependent on a compatible scikit-learn environment, which is why the dependency versions are pinned.</w:t>
      </w:r>
      <w:r>
        <w:br w:type="textWrapping"/>
      </w:r>
      <w:r>
        <w:br w:type="textWrapping"/>
      </w:r>
      <w:r>
        <w:t>The Colab browser URL is runtime-specific and should not be treated as a permanent production deployment address. The notebook also starts Streamlit for prototype use and diagnostics; production hosting would require a persistent deployment environment and its own configuration and security controls.</w:t>
      </w:r>
    </w:p>
    <w:p w14:paraId="29A68234">
      <w:pPr>
        <w:pStyle w:val="2"/>
      </w:pPr>
      <w:r>
        <w:t>5. Final Handover / Project Completion Status</w:t>
      </w:r>
    </w:p>
    <w:p w14:paraId="20B7C8F9">
      <w:r>
        <w:t>Because Application &amp; Integration is the final pipeline stage, the original “What the next lead must do / use” section is replaced with a final handover and completion-status section.</w:t>
      </w:r>
      <w:r>
        <w:br w:type="textWrapping"/>
      </w:r>
      <w:r>
        <w:br w:type="textWrapping"/>
      </w:r>
      <w:r>
        <w:t>The completed notebook is the reproducible launch procedure for the prototype in Google Colab. The application folder must be uploaded to /content/telecom_churn_app, after which the notebook can be run from top to bottom. Successful execution validates the environment, application package, model artifacts, inference path, Streamlit process, server readiness, and browser access.</w:t>
      </w:r>
      <w:r>
        <w:br w:type="textWrapping"/>
      </w:r>
      <w:r>
        <w:br w:type="textWrapping"/>
      </w:r>
      <w:r>
        <w:t>For final submission, the notebook should be retained with the same application folder structure and compatible model artifacts used during the successful demonstration.</w:t>
      </w:r>
    </w:p>
    <w:p w14:paraId="365EE326">
      <w:pPr>
        <w:pStyle w:val="2"/>
      </w:pPr>
      <w:r>
        <w:t>Notebook Execution Flow</w:t>
      </w:r>
    </w:p>
    <w:p w14:paraId="5212F975">
      <w:pPr>
        <w:pStyle w:val="29"/>
      </w:pPr>
      <w:r>
        <w:t>Install the pinned application and ML dependencies.</w:t>
      </w:r>
    </w:p>
    <w:p w14:paraId="2CEF498E">
      <w:pPr>
        <w:pStyle w:val="29"/>
      </w:pPr>
      <w:r>
        <w:t>Import the libraries used by the integration workflow.</w:t>
      </w:r>
    </w:p>
    <w:p w14:paraId="17DA8F46">
      <w:pPr>
        <w:pStyle w:val="29"/>
      </w:pPr>
      <w:r>
        <w:t>Define the application, model, and seed-data paths.</w:t>
      </w:r>
    </w:p>
    <w:p w14:paraId="54BFF540">
      <w:pPr>
        <w:pStyle w:val="29"/>
      </w:pPr>
      <w:r>
        <w:t>Verify the required files and inspect the project structure.</w:t>
      </w:r>
    </w:p>
    <w:p w14:paraId="18D433E1">
      <w:pPr>
        <w:pStyle w:val="29"/>
      </w:pPr>
      <w:r>
        <w:t>Load and validate the saved preprocessing pipeline and tuned Random Forest.</w:t>
      </w:r>
    </w:p>
    <w:p w14:paraId="162A7770">
      <w:pPr>
        <w:pStyle w:val="29"/>
      </w:pPr>
      <w:r>
        <w:t>Run a controlled prediction using a representative customer record.</w:t>
      </w:r>
    </w:p>
    <w:p w14:paraId="6B0D11D2">
      <w:pPr>
        <w:pStyle w:val="29"/>
      </w:pPr>
      <w:r>
        <w:t>Apply the locked 40% churn threshold to the model probability.</w:t>
      </w:r>
    </w:p>
    <w:p w14:paraId="71171EEE">
      <w:pPr>
        <w:pStyle w:val="29"/>
      </w:pPr>
      <w:r>
        <w:t>Select an unused Streamlit port and start the application in the background.</w:t>
      </w:r>
    </w:p>
    <w:p w14:paraId="61E03885">
      <w:pPr>
        <w:pStyle w:val="29"/>
      </w:pPr>
      <w:r>
        <w:t>Poll the Streamlit health endpoint until the server is ready.</w:t>
      </w:r>
    </w:p>
    <w:p w14:paraId="35B3679B">
      <w:pPr>
        <w:pStyle w:val="29"/>
      </w:pPr>
      <w:r>
        <w:t>Expose the verified port through the Google Colab browser proxy.</w:t>
      </w:r>
    </w:p>
    <w:p w14:paraId="38FE98F0">
      <w:pPr>
        <w:pStyle w:val="2"/>
      </w:pPr>
      <w:r>
        <w:t>Team Review Statement</w:t>
      </w:r>
    </w:p>
    <w:p w14:paraId="21B1873D">
      <w:r>
        <w:t>All implementation and integration decisions were reviewed by the team, accepted by the team, and documented before being committed to the project.</w:t>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CaskaydiaCove NF"/>
    <w:panose1 w:val="00000000000000000000"/>
    <w:charset w:val="00"/>
    <w:family w:val="auto"/>
    <w:pitch w:val="default"/>
    <w:sig w:usb0="00000000" w:usb1="00000000" w:usb2="00000000" w:usb3="00000000" w:csb0="00000000" w:csb1="00000000"/>
  </w:font>
  <w:font w:name="CaskaydiaCove NF">
    <w:panose1 w:val="02000009000000000000"/>
    <w:charset w:val="00"/>
    <w:family w:val="auto"/>
    <w:pitch w:val="default"/>
    <w:sig w:usb0="A1002AFF" w:usb1="C200F9FB" w:usb2="00040020" w:usb3="00000000" w:csb0="600001FF" w:csb1="FFFF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045156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5"/>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4"/>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850</Words>
  <Characters>5186</Characters>
  <Lines>0</Lines>
  <Paragraphs>0</Paragraphs>
  <TotalTime>1</TotalTime>
  <ScaleCrop>false</ScaleCrop>
  <LinksUpToDate>false</LinksUpToDate>
  <CharactersWithSpaces>5986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Miracle Kosi</cp:lastModifiedBy>
  <dcterms:modified xsi:type="dcterms:W3CDTF">2026-08-31T23:56:48Z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eyJoZGlkIjoiODFmOGU0Y2M5OGJkMDMyNjM3YmE0MGNlNjQ5MmFhOTAiLCJ1c2VySWQiOiIyNzY2MjQyMzEyOTI0In0=</vt:lpwstr>
  </property>
  <property fmtid="{D5CDD505-2E9C-101B-9397-08002B2CF9AE}" pid="3" name="KSOProductBuildVer">
    <vt:lpwstr>1033-12.1.0.28032</vt:lpwstr>
  </property>
  <property fmtid="{D5CDD505-2E9C-101B-9397-08002B2CF9AE}" pid="4" name="ICV">
    <vt:lpwstr>91C1F1A2413541AA95052130A8594A7B_12</vt:lpwstr>
  </property>
</Properties>
</file>