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F231E">
      <w:pPr>
        <w:jc w:val="center"/>
      </w:pPr>
      <w:r>
        <w:rPr>
          <w:b/>
          <w:sz w:val="44"/>
        </w:rPr>
        <w:t>Telecom Customer Churn AI — Application Handover &amp; Technical Documentation</w:t>
      </w:r>
    </w:p>
    <w:p w14:paraId="5F39A975">
      <w:pPr>
        <w:jc w:val="center"/>
      </w:pPr>
      <w:r>
        <w:rPr>
          <w:i/>
          <w:sz w:val="20"/>
        </w:rPr>
        <w:t>Group 2 • Telecom Customer Churn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E6F6A82">
        <w:tblPrEx>
          <w:tblCellMar>
            <w:top w:w="0" w:type="dxa"/>
            <w:left w:w="108" w:type="dxa"/>
            <w:bottom w:w="0" w:type="dxa"/>
            <w:right w:w="108" w:type="dxa"/>
          </w:tblCellMar>
        </w:tblPrEx>
        <w:trPr>
          <w:jc w:val="center"/>
        </w:trPr>
        <w:tc>
          <w:tcPr>
            <w:tcW w:w="4968" w:type="dxa"/>
            <w:shd w:val="clear" w:color="auto" w:fill="E8EEF7"/>
            <w:vAlign w:val="center"/>
          </w:tcPr>
          <w:p w14:paraId="648A34B8">
            <w:pPr>
              <w:spacing w:after="0" w:line="240" w:lineRule="auto"/>
            </w:pPr>
            <w:r>
              <w:t>Application</w:t>
            </w:r>
          </w:p>
        </w:tc>
        <w:tc>
          <w:tcPr>
            <w:tcW w:w="4968" w:type="dxa"/>
          </w:tcPr>
          <w:p w14:paraId="45F82F6E">
            <w:pPr>
              <w:spacing w:after="0" w:line="240" w:lineRule="auto"/>
            </w:pPr>
            <w:r>
              <w:t>Telecom Customer Churn AI</w:t>
            </w:r>
          </w:p>
        </w:tc>
      </w:tr>
      <w:tr w14:paraId="5028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35528D53">
            <w:pPr>
              <w:spacing w:after="0" w:line="240" w:lineRule="auto"/>
            </w:pPr>
            <w:r>
              <w:t>Application &amp; Integration Lead</w:t>
            </w:r>
          </w:p>
        </w:tc>
        <w:tc>
          <w:tcPr>
            <w:tcW w:w="4968" w:type="dxa"/>
          </w:tcPr>
          <w:p w14:paraId="7620B990">
            <w:pPr>
              <w:spacing w:after="0" w:line="240" w:lineRule="auto"/>
              <w:rPr>
                <w:rFonts w:hint="default"/>
                <w:lang w:val="en-US"/>
              </w:rPr>
            </w:pPr>
            <w:r>
              <w:t>Nze Chim</w:t>
            </w:r>
            <w:r>
              <w:rPr>
                <w:rFonts w:hint="default"/>
                <w:lang w:val="en-US"/>
              </w:rPr>
              <w:t>a</w:t>
            </w:r>
            <w:bookmarkStart w:id="0" w:name="_GoBack"/>
            <w:bookmarkEnd w:id="0"/>
          </w:p>
        </w:tc>
      </w:tr>
      <w:tr w14:paraId="01E2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2163A06B">
            <w:pPr>
              <w:spacing w:after="0" w:line="240" w:lineRule="auto"/>
            </w:pPr>
            <w:r>
              <w:t>Framework</w:t>
            </w:r>
          </w:p>
        </w:tc>
        <w:tc>
          <w:tcPr>
            <w:tcW w:w="4968" w:type="dxa"/>
          </w:tcPr>
          <w:p w14:paraId="7891FF5A">
            <w:pPr>
              <w:spacing w:after="0" w:line="240" w:lineRule="auto"/>
            </w:pPr>
            <w:r>
              <w:t>Streamlit</w:t>
            </w:r>
          </w:p>
        </w:tc>
      </w:tr>
      <w:tr w14:paraId="26ED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70DA82CC">
            <w:pPr>
              <w:spacing w:after="0" w:line="240" w:lineRule="auto"/>
            </w:pPr>
            <w:r>
              <w:t>Model</w:t>
            </w:r>
          </w:p>
        </w:tc>
        <w:tc>
          <w:tcPr>
            <w:tcW w:w="4968" w:type="dxa"/>
          </w:tcPr>
          <w:p w14:paraId="640E8714">
            <w:pPr>
              <w:spacing w:after="0" w:line="240" w:lineRule="auto"/>
            </w:pPr>
            <w:r>
              <w:t>Tuned Random Forest</w:t>
            </w:r>
          </w:p>
        </w:tc>
      </w:tr>
      <w:tr w14:paraId="0355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4CDC8416">
            <w:pPr>
              <w:spacing w:after="0" w:line="240" w:lineRule="auto"/>
            </w:pPr>
            <w:r>
              <w:t>Decision threshold</w:t>
            </w:r>
          </w:p>
        </w:tc>
        <w:tc>
          <w:tcPr>
            <w:tcW w:w="4968" w:type="dxa"/>
          </w:tcPr>
          <w:p w14:paraId="227957E4">
            <w:pPr>
              <w:spacing w:after="0" w:line="240" w:lineRule="auto"/>
            </w:pPr>
            <w:r>
              <w:t>40%</w:t>
            </w:r>
          </w:p>
        </w:tc>
      </w:tr>
      <w:tr w14:paraId="42DB5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4F0709B7">
            <w:pPr>
              <w:spacing w:after="0" w:line="240" w:lineRule="auto"/>
            </w:pPr>
            <w:r>
              <w:t>Database</w:t>
            </w:r>
          </w:p>
        </w:tc>
        <w:tc>
          <w:tcPr>
            <w:tcW w:w="4968" w:type="dxa"/>
          </w:tcPr>
          <w:p w14:paraId="48DE278A">
            <w:pPr>
              <w:spacing w:after="0" w:line="240" w:lineRule="auto"/>
            </w:pPr>
            <w:r>
              <w:t>SQLite</w:t>
            </w:r>
          </w:p>
        </w:tc>
      </w:tr>
      <w:tr w14:paraId="0492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E8EEF7"/>
            <w:vAlign w:val="center"/>
          </w:tcPr>
          <w:p w14:paraId="5FD62496">
            <w:pPr>
              <w:spacing w:after="0" w:line="240" w:lineRule="auto"/>
            </w:pPr>
            <w:r>
              <w:t>Primary entrypoint</w:t>
            </w:r>
          </w:p>
        </w:tc>
        <w:tc>
          <w:tcPr>
            <w:tcW w:w="4968" w:type="dxa"/>
          </w:tcPr>
          <w:p w14:paraId="5DA12B6A">
            <w:pPr>
              <w:spacing w:after="0" w:line="240" w:lineRule="auto"/>
            </w:pPr>
            <w:r>
              <w:t>app.py</w:t>
            </w:r>
          </w:p>
        </w:tc>
      </w:tr>
    </w:tbl>
    <w:p w14:paraId="7E3E41D7"/>
    <w:p w14:paraId="51AE037C">
      <w:pPr>
        <w:pStyle w:val="2"/>
      </w:pPr>
      <w:r>
        <w:t>Document Purpose</w:t>
      </w:r>
    </w:p>
    <w:p w14:paraId="1C96E9F5">
      <w:r>
        <w:t>This document explains how the Streamlit prototype works from application startup through customer search, prediction, storage, signal analysis, retention recommendations, analytics, and system logging. It is intended as the technical handover and operating reference for the completed application.</w:t>
      </w:r>
    </w:p>
    <w:p w14:paraId="3BA7011E">
      <w:pPr>
        <w:pStyle w:val="2"/>
      </w:pPr>
      <w:r>
        <w:t>1. What Was Done</w:t>
      </w:r>
    </w:p>
    <w:p w14:paraId="2207C4D2">
      <w:r>
        <w:t>The Streamlit application was integrated with the completed machine-learning pipeline and expanded into a usable retention-intelligence prototype. It loads the saved preprocessing pipeline and tuned Random Forest, accepts a complete customer profile, produces churn probability and a churn decision using the locked 40% threshold, stores customer and scan information in SQLite, and presents the result through a dark-gradient interface with risk-sensitive circular meters.</w:t>
      </w:r>
      <w:r>
        <w:br w:type="textWrapping"/>
      </w:r>
      <w:r>
        <w:br w:type="textWrapping"/>
      </w:r>
      <w:r>
        <w:t>The application also includes customer ID search, a customer registry, historical pre-scanned customers, customer-specific model signals, suggested retention actions, scan analytics, and system logs. Navigation is provided through the sidebar between Dashboard, Customer Registry, Analytics, and System Logs.</w:t>
      </w:r>
    </w:p>
    <w:p w14:paraId="36DD0223">
      <w:pPr>
        <w:pStyle w:val="23"/>
      </w:pPr>
      <w:r>
        <w:t>Dark gradient visual design with responsive cards, status banners, circular probability meters, and threshold display.</w:t>
      </w:r>
    </w:p>
    <w:p w14:paraId="00ADA5CB">
      <w:pPr>
        <w:pStyle w:val="23"/>
      </w:pPr>
      <w:r>
        <w:t>Customer profile capture covering account information, demographics, subscribed services, billing, contract, and payment details.</w:t>
      </w:r>
    </w:p>
    <w:p w14:paraId="0C39FF28">
      <w:pPr>
        <w:pStyle w:val="23"/>
      </w:pPr>
      <w:r>
        <w:t>Customer ID integration for identifying and storing each scanned customer.</w:t>
      </w:r>
    </w:p>
    <w:p w14:paraId="3827D598">
      <w:pPr>
        <w:pStyle w:val="23"/>
      </w:pPr>
      <w:r>
        <w:t>SQLite persistence for customers, prediction scans, and system events.</w:t>
      </w:r>
    </w:p>
    <w:p w14:paraId="2500FD86">
      <w:pPr>
        <w:pStyle w:val="23"/>
      </w:pPr>
      <w:r>
        <w:t>Historical customer seeding from prototype_seed_customers.csv when the registry is empty.</w:t>
      </w:r>
    </w:p>
    <w:p w14:paraId="4123357F">
      <w:pPr>
        <w:pStyle w:val="23"/>
      </w:pPr>
      <w:r>
        <w:t>Automatic generation and storage of predictions for seeded historical customers that do not already have a scan.</w:t>
      </w:r>
    </w:p>
    <w:p w14:paraId="1267907B">
      <w:pPr>
        <w:pStyle w:val="23"/>
      </w:pPr>
      <w:r>
        <w:t>Customer search by unique customerID.</w:t>
      </w:r>
    </w:p>
    <w:p w14:paraId="64BBB217">
      <w:pPr>
        <w:pStyle w:val="23"/>
      </w:pPr>
      <w:r>
        <w:t>Customer-specific signal analysis based on sensitivity testing of model probability to feature changes.</w:t>
      </w:r>
    </w:p>
    <w:p w14:paraId="7D8A4996">
      <w:pPr>
        <w:pStyle w:val="23"/>
      </w:pPr>
      <w:r>
        <w:t>Profile-based suggested retention actions for flagged customers.</w:t>
      </w:r>
    </w:p>
    <w:p w14:paraId="4B521112">
      <w:pPr>
        <w:pStyle w:val="23"/>
      </w:pPr>
      <w:r>
        <w:t>Analytics for scan counts, churn/no-churn flags, average churn probability, prediction distribution, probability by scan, and accuracy on known historical outcomes.</w:t>
      </w:r>
    </w:p>
    <w:p w14:paraId="6ED0FAB8">
      <w:pPr>
        <w:pStyle w:val="23"/>
      </w:pPr>
      <w:r>
        <w:t>A system-log page covering application events such as seeding, searches, predictions, and model-loading errors.</w:t>
      </w:r>
    </w:p>
    <w:p w14:paraId="33868C6F">
      <w:pPr>
        <w:pStyle w:val="2"/>
      </w:pPr>
      <w:r>
        <w:t>2. Application Architecture</w:t>
      </w:r>
    </w:p>
    <w:p w14:paraId="1844D770">
      <w:r>
        <w:t>The application follows a compact flow: Streamlit interface → input construction → saved preprocessing pipeline → tuned Random Forest → probability and threshold decision → SQLite persistence → visual and business-facing outputs.</w:t>
      </w:r>
    </w:p>
    <w:p w14:paraId="5B2F0104">
      <w:pPr>
        <w:pStyle w:val="23"/>
      </w:pPr>
      <w:r>
        <w:t>Presentation layer: Streamlit pages, sidebar controls, CSS, meters, tables, metrics, and status messages.</w:t>
      </w:r>
    </w:p>
    <w:p w14:paraId="4F1FD6B4">
      <w:pPr>
        <w:pStyle w:val="23"/>
      </w:pPr>
      <w:r>
        <w:t>Model layer: joblib-loaded preprocessing pipeline and tuned Random Forest.</w:t>
      </w:r>
    </w:p>
    <w:p w14:paraId="172CCDED">
      <w:pPr>
        <w:pStyle w:val="23"/>
      </w:pPr>
      <w:r>
        <w:t>Decision layer: churn probability compared with CHURN_THRESHOLD = 0.40.</w:t>
      </w:r>
    </w:p>
    <w:p w14:paraId="7B704E8F">
      <w:pPr>
        <w:pStyle w:val="23"/>
      </w:pPr>
      <w:r>
        <w:t>Data layer: SQLite database containing customers, scans, and system_logs tables.</w:t>
      </w:r>
    </w:p>
    <w:p w14:paraId="23EEC8F9">
      <w:pPr>
        <w:pStyle w:val="23"/>
      </w:pPr>
      <w:r>
        <w:t>Integration layer: startup initialization, seed loading, historical scan generation, and Colab/Streamlit deployment.</w:t>
      </w:r>
    </w:p>
    <w:p w14:paraId="57463FBD">
      <w:pPr>
        <w:pStyle w:val="2"/>
      </w:pPr>
      <w:r>
        <w:t>3. Application Startup</w:t>
      </w:r>
    </w:p>
    <w:p w14:paraId="346BD73A">
      <w:r>
        <w:t>At startup, the application initializes the SQLite database and creates the customers, scans, and system_logs tables if they do not already exist. It then seeds the customer registry from the supplied historical seed file when the registry is empty. The saved preprocessing pipeline and model are loaded, and historical seeded customers without an existing scan are processed and their results stored.</w:t>
      </w:r>
    </w:p>
    <w:p w14:paraId="7E9767C8">
      <w:pPr>
        <w:pStyle w:val="2"/>
      </w:pPr>
      <w:r>
        <w:t>4. Database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034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E8EEF7"/>
          </w:tcPr>
          <w:p w14:paraId="3000B118">
            <w:pPr>
              <w:spacing w:after="0" w:line="240" w:lineRule="auto"/>
            </w:pPr>
            <w:r>
              <w:t>Table</w:t>
            </w:r>
          </w:p>
        </w:tc>
        <w:tc>
          <w:tcPr>
            <w:tcW w:w="3312" w:type="dxa"/>
            <w:shd w:val="clear" w:color="auto" w:fill="E8EEF7"/>
          </w:tcPr>
          <w:p w14:paraId="498C825E">
            <w:pPr>
              <w:spacing w:after="0" w:line="240" w:lineRule="auto"/>
            </w:pPr>
            <w:r>
              <w:t>Purpose</w:t>
            </w:r>
          </w:p>
        </w:tc>
        <w:tc>
          <w:tcPr>
            <w:tcW w:w="3312" w:type="dxa"/>
            <w:shd w:val="clear" w:color="auto" w:fill="E8EEF7"/>
          </w:tcPr>
          <w:p w14:paraId="23FC4209">
            <w:pPr>
              <w:spacing w:after="0" w:line="240" w:lineRule="auto"/>
            </w:pPr>
            <w:r>
              <w:t>Main information</w:t>
            </w:r>
          </w:p>
        </w:tc>
      </w:tr>
      <w:tr w14:paraId="022B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B631942">
            <w:pPr>
              <w:spacing w:after="0" w:line="240" w:lineRule="auto"/>
            </w:pPr>
            <w:r>
              <w:t>customers</w:t>
            </w:r>
          </w:p>
        </w:tc>
        <w:tc>
          <w:tcPr>
            <w:tcW w:w="3312" w:type="dxa"/>
          </w:tcPr>
          <w:p w14:paraId="07B122B2">
            <w:pPr>
              <w:spacing w:after="0" w:line="240" w:lineRule="auto"/>
            </w:pPr>
            <w:r>
              <w:t>Customer registry</w:t>
            </w:r>
          </w:p>
        </w:tc>
        <w:tc>
          <w:tcPr>
            <w:tcW w:w="3312" w:type="dxa"/>
          </w:tcPr>
          <w:p w14:paraId="6E64F193">
            <w:pPr>
              <w:spacing w:after="0" w:line="240" w:lineRule="auto"/>
            </w:pPr>
            <w:r>
              <w:t>Customer profile, actual historical churn where known, source, creation time</w:t>
            </w:r>
          </w:p>
        </w:tc>
      </w:tr>
      <w:tr w14:paraId="0813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E74AA5E">
            <w:pPr>
              <w:spacing w:after="0" w:line="240" w:lineRule="auto"/>
            </w:pPr>
            <w:r>
              <w:t>scans</w:t>
            </w:r>
          </w:p>
        </w:tc>
        <w:tc>
          <w:tcPr>
            <w:tcW w:w="3312" w:type="dxa"/>
          </w:tcPr>
          <w:p w14:paraId="41342352">
            <w:pPr>
              <w:spacing w:after="0" w:line="240" w:lineRule="auto"/>
            </w:pPr>
            <w:r>
              <w:t>Prediction history</w:t>
            </w:r>
          </w:p>
        </w:tc>
        <w:tc>
          <w:tcPr>
            <w:tcW w:w="3312" w:type="dxa"/>
          </w:tcPr>
          <w:p w14:paraId="10E9CBBB">
            <w:pPr>
              <w:spacing w:after="0" w:line="240" w:lineRule="auto"/>
            </w:pPr>
            <w:r>
              <w:t>Customer ID, churn probability, prediction, threshold, risk level, scan time</w:t>
            </w:r>
          </w:p>
        </w:tc>
      </w:tr>
      <w:tr w14:paraId="314A8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4EEEBA6">
            <w:pPr>
              <w:spacing w:after="0" w:line="240" w:lineRule="auto"/>
            </w:pPr>
            <w:r>
              <w:t>system_logs</w:t>
            </w:r>
          </w:p>
        </w:tc>
        <w:tc>
          <w:tcPr>
            <w:tcW w:w="3312" w:type="dxa"/>
          </w:tcPr>
          <w:p w14:paraId="23A57F69">
            <w:pPr>
              <w:spacing w:after="0" w:line="240" w:lineRule="auto"/>
            </w:pPr>
            <w:r>
              <w:t>Operational audit trail</w:t>
            </w:r>
          </w:p>
        </w:tc>
        <w:tc>
          <w:tcPr>
            <w:tcW w:w="3312" w:type="dxa"/>
          </w:tcPr>
          <w:p w14:paraId="464A0C5E">
            <w:pPr>
              <w:spacing w:after="0" w:line="240" w:lineRule="auto"/>
            </w:pPr>
            <w:r>
              <w:t>Timestamp, level, event, customer ID, and event details</w:t>
            </w:r>
          </w:p>
        </w:tc>
      </w:tr>
    </w:tbl>
    <w:p w14:paraId="306E069D">
      <w:pPr>
        <w:pStyle w:val="2"/>
      </w:pPr>
      <w:r>
        <w:t>5. Dashboard — Customer Prediction</w:t>
      </w:r>
    </w:p>
    <w:p w14:paraId="68C20BD0">
      <w:r>
        <w:t>The Dashboard is the primary operational page. A retention officer enters a customer ID and profile through the sidebar or searches an existing customer by ID. A new scan is converted into the model's expected feature frame, passed through the saved preprocessor, and evaluated by the tuned Random Forest.</w:t>
      </w:r>
    </w:p>
    <w:p w14:paraId="5392E7A6">
      <w:pPr>
        <w:pStyle w:val="23"/>
      </w:pPr>
      <w:r>
        <w:t>Churn probability is extracted from predict_proba.</w:t>
      </w:r>
    </w:p>
    <w:p w14:paraId="1B3B52EB">
      <w:pPr>
        <w:pStyle w:val="23"/>
      </w:pPr>
      <w:r>
        <w:t>A churn flag is produced when probability is at least 40%.</w:t>
      </w:r>
    </w:p>
    <w:p w14:paraId="5CCA5D9D">
      <w:pPr>
        <w:pStyle w:val="23"/>
      </w:pPr>
      <w:r>
        <w:t>Risk bands are Low below 40%, Medium from 40% to below 60%, and High at 60% or above.</w:t>
      </w:r>
    </w:p>
    <w:p w14:paraId="21614012">
      <w:pPr>
        <w:pStyle w:val="23"/>
      </w:pPr>
      <w:r>
        <w:t>Retention probability is displayed as 1 minus churn probability.</w:t>
      </w:r>
    </w:p>
    <w:p w14:paraId="79082D6B">
      <w:pPr>
        <w:pStyle w:val="23"/>
      </w:pPr>
      <w:r>
        <w:t>The circular churn meter changes from green through yellow to red according to risk.</w:t>
      </w:r>
    </w:p>
    <w:p w14:paraId="27C40A87">
      <w:pPr>
        <w:pStyle w:val="23"/>
      </w:pPr>
      <w:r>
        <w:t>The locked 40% decision boundary is displayed explicitly in the interface.</w:t>
      </w:r>
    </w:p>
    <w:p w14:paraId="38DCC21A">
      <w:pPr>
        <w:pStyle w:val="23"/>
      </w:pPr>
      <w:r>
        <w:t>The completed scan is saved to SQLite and an event is written to system_logs.</w:t>
      </w:r>
    </w:p>
    <w:p w14:paraId="3E423D98">
      <w:pPr>
        <w:pStyle w:val="2"/>
      </w:pPr>
      <w:r>
        <w:t>6. Customer-Specific Signals</w:t>
      </w:r>
    </w:p>
    <w:p w14:paraId="56CB01C7">
      <w:r>
        <w:t>The application estimates which features are most influential for an individual customer by changing one feature at a time to predefined alternatives, rerunning the model, and measuring the absolute change in churn probability. The five features with the largest sensitivity values are displayed.</w:t>
      </w:r>
    </w:p>
    <w:p w14:paraId="089FD900">
      <w:pPr>
        <w:pStyle w:val="23"/>
      </w:pPr>
      <w:r>
        <w:t>Sensitivity ≥ 0.15 is labelled Strong.</w:t>
      </w:r>
    </w:p>
    <w:p w14:paraId="7CAEA5F8">
      <w:pPr>
        <w:pStyle w:val="23"/>
      </w:pPr>
      <w:r>
        <w:t>Sensitivity ≥ 0.07 and below 0.15 is labelled Moderate.</w:t>
      </w:r>
    </w:p>
    <w:p w14:paraId="5AEF1ED3">
      <w:pPr>
        <w:pStyle w:val="23"/>
      </w:pPr>
      <w:r>
        <w:t>Lower sensitivity is labelled Supporting.</w:t>
      </w:r>
    </w:p>
    <w:p w14:paraId="77E69468">
      <w:pPr>
        <w:pStyle w:val="23"/>
      </w:pPr>
      <w:r>
        <w:t>The table reports the feature, observed value, signal strength, and sensitivity.</w:t>
      </w:r>
    </w:p>
    <w:p w14:paraId="3D43A22B">
      <w:r>
        <w:t>These are customer-specific sensitivity signals rather than formal causal explanations. They indicate which tested changes most alter the model's probability for that customer.</w:t>
      </w:r>
    </w:p>
    <w:p w14:paraId="2A76F853">
      <w:pPr>
        <w:pStyle w:val="2"/>
      </w:pPr>
      <w:r>
        <w:t>7. Suggested Retention Actions</w:t>
      </w:r>
    </w:p>
    <w:p w14:paraId="04CD29AB">
      <w:r>
        <w:t>For customers flagged for churn, the application generates rule-based recommendations from the customer's profile. The rules currently address month-to-month contracts, fiber customers without online security, customers without technical support, electronic-check payment, higher monthly charges, and early tenure. If no rule applies, a general retention-specialist recommendation is shown. Customers without a churn flag receive a standard-monitoring recommendation.</w:t>
      </w:r>
    </w:p>
    <w:p w14:paraId="24480406">
      <w:pPr>
        <w:pStyle w:val="2"/>
      </w:pPr>
      <w:r>
        <w:t>8. Customer Registry</w:t>
      </w:r>
    </w:p>
    <w:p w14:paraId="64E5BB61">
      <w:r>
        <w:t>The Customer Registry provides the persistent customer list stored in SQLite. It shows customer ID, tenure, contract, internet service, monthly charges, actual historical churn where known, source, and creation time. The page also distinguishes known historical outcomes from newly scanned application customers.</w:t>
      </w:r>
    </w:p>
    <w:p w14:paraId="7C4BC05C">
      <w:pPr>
        <w:pStyle w:val="2"/>
      </w:pPr>
      <w:r>
        <w:t>9. Historical Customer Pre-Scanning</w:t>
      </w:r>
    </w:p>
    <w:p w14:paraId="2147AEF9">
      <w:r>
        <w:t>When the registry is initially empty, the application reads prototype_seed_customers.csv and inserts the historical profiles. It then generates predictions for historical customers that do not already have scans. This means seeded customers can be searched and their stored prediction, probability, risk level, signals, and retention actions can be displayed without requiring a new manual scan.</w:t>
      </w:r>
    </w:p>
    <w:p w14:paraId="14A1FAD0">
      <w:pPr>
        <w:pStyle w:val="2"/>
      </w:pPr>
      <w:r>
        <w:t>10. Analytics</w:t>
      </w:r>
    </w:p>
    <w:p w14:paraId="1A8787A9">
      <w:r>
        <w:t>The Analytics page summarizes model usage across recorded scans. It reports total scans, churn flags, no-churn flags, and average churn probability, and visualizes prediction distribution and churn probability by scan. Where historical customers have known actual churn labels, the application compares stored predictions with those labels and reports accuracy on that known historical subset.</w:t>
      </w:r>
    </w:p>
    <w:p w14:paraId="52AB756E">
      <w:r>
        <w:t>The application explicitly warns that newly scanned customers do not yet have future churn outcomes, so usage statistics and prediction distributions should not be interpreted as proof of future model performance.</w:t>
      </w:r>
    </w:p>
    <w:p w14:paraId="1DBDD833">
      <w:pPr>
        <w:pStyle w:val="2"/>
      </w:pPr>
      <w:r>
        <w:t>11. System Logs</w:t>
      </w:r>
    </w:p>
    <w:p w14:paraId="2897691F">
      <w:r>
        <w:t>The System Logs page provides an operational audit trail of application activity. Events include customer registry seeding, customer searches, generated predictions, historical customer scans, and model-loading errors. The page displays the latest 500 recorded events with timestamp, level, event, customer ID, and details.</w:t>
      </w:r>
    </w:p>
    <w:p w14:paraId="2D0C6772">
      <w:pPr>
        <w:pStyle w:val="2"/>
      </w:pPr>
      <w:r>
        <w:t>12. Key Technical Decisions</w:t>
      </w:r>
    </w:p>
    <w:p w14:paraId="7E4F23C0">
      <w:pPr>
        <w:pStyle w:val="23"/>
      </w:pPr>
      <w:r>
        <w:t>The churn classification threshold is locked at 40% and is used consistently for predictions and stored scans.</w:t>
      </w:r>
    </w:p>
    <w:p w14:paraId="02AF88F7">
      <w:pPr>
        <w:pStyle w:val="23"/>
      </w:pPr>
      <w:r>
        <w:t>The tuned Random Forest is the deployed model because it is the final model selected by the team's evaluation stage.</w:t>
      </w:r>
    </w:p>
    <w:p w14:paraId="0B4B2232">
      <w:pPr>
        <w:pStyle w:val="23"/>
      </w:pPr>
      <w:r>
        <w:t>The saved preprocessing pipeline is used before inference so application inputs follow the same transformation path as model development.</w:t>
      </w:r>
    </w:p>
    <w:p w14:paraId="4B3A42D2">
      <w:pPr>
        <w:pStyle w:val="23"/>
      </w:pPr>
      <w:r>
        <w:t>SQLite was used for the prototype's local persistence of customers, scans, and logs.</w:t>
      </w:r>
    </w:p>
    <w:p w14:paraId="064B5408">
      <w:pPr>
        <w:pStyle w:val="23"/>
      </w:pPr>
      <w:r>
        <w:t>Historical seed customers are pre-scanned so the registry demonstrates actual stored prediction results.</w:t>
      </w:r>
    </w:p>
    <w:p w14:paraId="5DC86AFF">
      <w:pPr>
        <w:pStyle w:val="23"/>
      </w:pPr>
      <w:r>
        <w:t>The application uses Streamlit session state to retain the latest prediction and customer information across reruns.</w:t>
      </w:r>
    </w:p>
    <w:p w14:paraId="1FF3E75F">
      <w:pPr>
        <w:pStyle w:val="23"/>
      </w:pPr>
      <w:r>
        <w:t>The Colab launch process uses a dynamically selected free port and a server health check rather than assuming a fixed port is available.</w:t>
      </w:r>
    </w:p>
    <w:p w14:paraId="18A9A145">
      <w:pPr>
        <w:pStyle w:val="2"/>
      </w:pPr>
      <w:r>
        <w:t>13. What Was Discovered</w:t>
      </w:r>
    </w:p>
    <w:p w14:paraId="079D86BC">
      <w:r>
        <w:t>The completed integration demonstrates that the model artifacts can be connected to a working user-facing retention workflow. The application is not limited to producing a raw classification: it combines probability, risk banding, customer-specific signals, retention rules, persistence, search, analytics, and operational logging.</w:t>
      </w:r>
    </w:p>
    <w:p w14:paraId="6B770C26">
      <w:pPr>
        <w:pStyle w:val="2"/>
      </w:pPr>
      <w:r>
        <w:t>14. What Remains Uncertain or Risky</w:t>
      </w:r>
    </w:p>
    <w:p w14:paraId="4959A352">
      <w:pPr>
        <w:pStyle w:val="23"/>
      </w:pPr>
      <w:r>
        <w:t>The prototype's historical accuracy view is limited to customers with known historical outcomes and does not create future outcomes for newly scanned customers.</w:t>
      </w:r>
    </w:p>
    <w:p w14:paraId="75441C0E">
      <w:pPr>
        <w:pStyle w:val="23"/>
      </w:pPr>
      <w:r>
        <w:t>Customer-specific sensitivity signals should not be interpreted as causal explanations of churn.</w:t>
      </w:r>
    </w:p>
    <w:p w14:paraId="195C2A15">
      <w:pPr>
        <w:pStyle w:val="23"/>
      </w:pPr>
      <w:r>
        <w:t>The retention recommendations are rule-based and should be treated as decision support rather than guaranteed interventions.</w:t>
      </w:r>
    </w:p>
    <w:p w14:paraId="6D8793B6">
      <w:pPr>
        <w:pStyle w:val="23"/>
      </w:pPr>
      <w:r>
        <w:t>SQLite is suitable for this prototype but would need a stronger database architecture for concurrent production users.</w:t>
      </w:r>
    </w:p>
    <w:p w14:paraId="5B11FEBC">
      <w:pPr>
        <w:pStyle w:val="23"/>
      </w:pPr>
      <w:r>
        <w:t>The Colab deployment is suitable for demonstration and testing, not as a persistent production hosting environment.</w:t>
      </w:r>
    </w:p>
    <w:p w14:paraId="43A43ED3">
      <w:pPr>
        <w:pStyle w:val="23"/>
      </w:pPr>
      <w:r>
        <w:t>The serialized model requires a compatible scikit-learn environment; changing dependency versions can break artifact loading.</w:t>
      </w:r>
    </w:p>
    <w:p w14:paraId="12B2A35C">
      <w:pPr>
        <w:pStyle w:val="2"/>
      </w:pPr>
      <w:r>
        <w:t>15. Final Handover / Project Completion Status</w:t>
      </w:r>
    </w:p>
    <w:p w14:paraId="4FD22A8C">
      <w:r>
        <w:t>As this is the final pipeline stage, the handover closes with the completed application and its operating documentation rather than assigning work to another pipeline lead. The final prototype consists of app.py, the saved preprocessing and model artifacts, the seed customer dataset, the SQLite runtime database, and the Colab launch notebook.</w:t>
      </w:r>
    </w:p>
    <w:p w14:paraId="6A9618F1">
      <w:pPr>
        <w:pStyle w:val="23"/>
      </w:pPr>
      <w:r>
        <w:t>Keep app.py and the models directory together so the relative artifact paths remain valid.</w:t>
      </w:r>
    </w:p>
    <w:p w14:paraId="26C3976E">
      <w:pPr>
        <w:pStyle w:val="23"/>
      </w:pPr>
      <w:r>
        <w:t>Keep prototype_seed_customers.csv in the application root when historical registry seeding is required.</w:t>
      </w:r>
    </w:p>
    <w:p w14:paraId="0A808461">
      <w:pPr>
        <w:pStyle w:val="23"/>
      </w:pPr>
      <w:r>
        <w:t>Use the Application &amp; Integration notebook to launch and validate the prototype in Google Colab.</w:t>
      </w:r>
    </w:p>
    <w:p w14:paraId="20001F97">
      <w:pPr>
        <w:pStyle w:val="23"/>
      </w:pPr>
      <w:r>
        <w:t>Do not change the 40% threshold without a new team-approved model-evaluation decision.</w:t>
      </w:r>
    </w:p>
    <w:p w14:paraId="30DEA906">
      <w:pPr>
        <w:pStyle w:val="23"/>
      </w:pPr>
      <w:r>
        <w:t>For a production deployment, replace the prototype persistence and hosting approach with production-grade infrastructure and access controls.</w:t>
      </w:r>
    </w:p>
    <w:p w14:paraId="0A31721F">
      <w:pPr>
        <w:pStyle w:val="2"/>
      </w:pPr>
      <w:r>
        <w:t>Team Review Statement</w:t>
      </w:r>
    </w:p>
    <w:p w14:paraId="07CD5231">
      <w:r>
        <w:t>All implementation and integration decisions were reviewed by the team, accepted by the team, and documented before being committed to the project.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askaydiaCove NF"/>
    <w:panose1 w:val="00000000000000000000"/>
    <w:charset w:val="00"/>
    <w:family w:val="auto"/>
    <w:pitch w:val="default"/>
    <w:sig w:usb0="00000000" w:usb1="00000000" w:usb2="00000000" w:usb3="00000000" w:csb0="00000000" w:csb1="00000000"/>
  </w:font>
  <w:font w:name="CaskaydiaCove NF">
    <w:panose1 w:val="02000009000000000000"/>
    <w:charset w:val="00"/>
    <w:family w:val="auto"/>
    <w:pitch w:val="default"/>
    <w:sig w:usb0="A1002AFF" w:usb1="C200F9FB" w:usb2="00040020" w:usb3="00000000" w:csb0="6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3125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1481</Words>
  <Characters>9351</Characters>
  <Lines>0</Lines>
  <Paragraphs>0</Paragraphs>
  <TotalTime>40</TotalTime>
  <ScaleCrop>false</ScaleCrop>
  <LinksUpToDate>false</LinksUpToDate>
  <CharactersWithSpaces>10725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Miracle Kosi</cp:lastModifiedBy>
  <dcterms:modified xsi:type="dcterms:W3CDTF">2026-08-31T23:56:39Z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eyJoZGlkIjoiODFmOGU0Y2M5OGJkMDMyNjM3YmE0MGNlNjQ5MmFhOTAiLCJ1c2VySWQiOiIyNzY2MjQyMzEyOTI0In0=</vt:lpwstr>
  </property>
  <property fmtid="{D5CDD505-2E9C-101B-9397-08002B2CF9AE}" pid="3" name="KSOProductBuildVer">
    <vt:lpwstr>1033-12.1.0.28032</vt:lpwstr>
  </property>
  <property fmtid="{D5CDD505-2E9C-101B-9397-08002B2CF9AE}" pid="4" name="ICV">
    <vt:lpwstr>CAAD573C131F408BA81B4FB319F78D7F_12</vt:lpwstr>
  </property>
</Properties>
</file>