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487E56">
      <w:pPr>
        <w:spacing w:before="700" w:line="259" w:lineRule="auto"/>
        <w:jc w:val="left"/>
      </w:pPr>
      <w:r>
        <w:rPr>
          <w:b/>
          <w:color w:val="3F6B8C"/>
          <w:sz w:val="22"/>
        </w:rPr>
        <w:t>GROUP 2 PROJECT DELIVERABLE</w:t>
      </w:r>
    </w:p>
    <w:p w14:paraId="288F04B5">
      <w:pPr>
        <w:pStyle w:val="36"/>
        <w:spacing w:line="259" w:lineRule="auto"/>
      </w:pPr>
      <w:r>
        <w:t>Dataset Summary, Raw-Data Assessment</w:t>
      </w:r>
      <w:r>
        <w:br w:type="textWrapping"/>
      </w:r>
      <w:r>
        <w:t>and Shared Customer Field Definitions</w:t>
      </w:r>
    </w:p>
    <w:p w14:paraId="13781ABA">
      <w:pPr>
        <w:spacing w:before="200" w:line="259" w:lineRule="auto"/>
      </w:pPr>
      <w:r>
        <w:rPr>
          <w:b/>
          <w:color w:val="404040"/>
          <w:sz w:val="26"/>
        </w:rPr>
        <w:t>Telecom Customer Churn — Technical Data Understanding Stage</w:t>
      </w:r>
    </w:p>
    <w:p w14:paraId="56329A28">
      <w:pPr>
        <w:spacing w:before="320" w:line="259" w:lineRule="auto"/>
      </w:pPr>
      <w:r>
        <w:rPr>
          <w:b/>
        </w:rPr>
        <w:t xml:space="preserve">Prepared by: </w:t>
      </w:r>
      <w:r>
        <w:t>Madu Miracle Kosi — Data Understanding Lead</w:t>
      </w:r>
      <w:r>
        <w:br w:type="textWrapping"/>
      </w:r>
      <w:r>
        <w:rPr>
          <w:b/>
        </w:rPr>
        <w:t xml:space="preserve">Project team: </w:t>
      </w:r>
      <w:r>
        <w:t>Group 2, ICBM Technical Bootcamp 2026</w:t>
      </w:r>
      <w:r>
        <w:br w:type="textWrapping"/>
      </w:r>
      <w:r>
        <w:rPr>
          <w:b/>
        </w:rPr>
        <w:t xml:space="preserve">Dataset reviewed: </w:t>
      </w:r>
      <w:r>
        <w:t>Customer_churn.csv</w:t>
      </w:r>
      <w:r>
        <w:br w:type="textWrapping"/>
      </w:r>
      <w:r>
        <w:rPr>
          <w:b/>
        </w:rPr>
        <w:t xml:space="preserve">Status: </w:t>
      </w:r>
      <w:r>
        <w:t>Team review completed; ready for technical handoff to Data Exploration and Data Preparation</w:t>
      </w:r>
    </w:p>
    <w:tbl>
      <w:tblPr>
        <w:tblStyle w:val="12"/>
        <w:tblW w:w="0" w:type="auto"/>
        <w:jc w:val="center"/>
        <w:tblLayout w:type="autofit"/>
        <w:tblCellMar>
          <w:top w:w="0" w:type="dxa"/>
          <w:left w:w="108" w:type="dxa"/>
          <w:bottom w:w="0" w:type="dxa"/>
          <w:right w:w="108" w:type="dxa"/>
        </w:tblCellMar>
      </w:tblPr>
      <w:tblGrid>
        <w:gridCol w:w="10224"/>
      </w:tblGrid>
      <w:tr w14:paraId="5E078EFB">
        <w:trPr>
          <w:jc w:val="center"/>
        </w:trPr>
        <w:tc>
          <w:tcPr>
            <w:tcW w:w="10224" w:type="dxa"/>
            <w:shd w:val="clear" w:color="auto" w:fill="EAF2F8"/>
            <w:tcMar>
              <w:top w:w="140" w:type="dxa"/>
              <w:left w:w="140" w:type="dxa"/>
              <w:bottom w:w="140" w:type="dxa"/>
              <w:right w:w="140" w:type="dxa"/>
            </w:tcMar>
          </w:tcPr>
          <w:p w14:paraId="5E3E617F">
            <w:pPr>
              <w:spacing w:after="60"/>
            </w:pPr>
            <w:r>
              <w:rPr>
                <w:b/>
                <w:color w:val="17365D"/>
                <w:sz w:val="21"/>
              </w:rPr>
              <w:t>Purpose of this deliverable</w:t>
            </w:r>
          </w:p>
          <w:p w14:paraId="4F518870">
            <w:pPr>
              <w:spacing w:after="0"/>
            </w:pPr>
            <w:r>
              <w:rPr>
                <w:sz w:val="19"/>
              </w:rPr>
              <w:t>This document records the shared technical understanding reached by the team during the data-understanding stage. It establishes the dataset scope, schema, feature meanings, raw-data quality observations, and the decisions that downstream technical work must respect.</w:t>
            </w:r>
          </w:p>
        </w:tc>
      </w:tr>
    </w:tbl>
    <w:p w14:paraId="32EABBBB">
      <w:pPr>
        <w:pStyle w:val="164"/>
        <w:spacing w:line="259" w:lineRule="auto"/>
      </w:pPr>
    </w:p>
    <w:p w14:paraId="58E982EA">
      <w:pPr>
        <w:spacing w:line="259" w:lineRule="auto"/>
      </w:pPr>
      <w:r>
        <w:br w:type="page"/>
      </w:r>
    </w:p>
    <w:p w14:paraId="4B248F5F">
      <w:pPr>
        <w:pStyle w:val="2"/>
        <w:spacing w:line="259" w:lineRule="auto"/>
      </w:pPr>
      <w:r>
        <w:t>1. Executive Summary</w:t>
      </w:r>
    </w:p>
    <w:p w14:paraId="0664A89B">
      <w:pPr>
        <w:spacing w:line="259" w:lineRule="auto"/>
      </w:pPr>
      <w:r>
        <w:t>The reviewed raw dataset contains 7,043 customer records and 21 columns. The data supports a binary churn classification task in which Churn is recorded as Yes or No. The schema covers customer demographics, account and financial information, service subscriptions and the churn outcome.</w:t>
      </w:r>
    </w:p>
    <w:p w14:paraId="1B5A0387">
      <w:pPr>
        <w:spacing w:line="259" w:lineRule="auto"/>
      </w:pPr>
      <w:r>
        <w:t>The raw-data assessment found no fully duplicated rows, no duplicate customer IDs, and no pandas-recognized null values. However, TotalCharges is stored as text and contains 11 whitespace-only entries. All 11 occur where tenure is 0, so this issue must be explicitly handled during preparation rather than silently ignored. The dataset therefore passes an initial structural review but is not yet model-ready.</w:t>
      </w:r>
    </w:p>
    <w:tbl>
      <w:tblPr>
        <w:tblStyle w:val="12"/>
        <w:tblW w:w="0" w:type="auto"/>
        <w:jc w:val="center"/>
        <w:tblLayout w:type="autofit"/>
        <w:tblCellMar>
          <w:top w:w="0" w:type="dxa"/>
          <w:left w:w="108" w:type="dxa"/>
          <w:bottom w:w="0" w:type="dxa"/>
          <w:right w:w="108" w:type="dxa"/>
        </w:tblCellMar>
      </w:tblPr>
      <w:tblGrid>
        <w:gridCol w:w="10224"/>
      </w:tblGrid>
      <w:tr w14:paraId="5FFDFED9">
        <w:tblPrEx>
          <w:tblCellMar>
            <w:top w:w="0" w:type="dxa"/>
            <w:left w:w="108" w:type="dxa"/>
            <w:bottom w:w="0" w:type="dxa"/>
            <w:right w:w="108" w:type="dxa"/>
          </w:tblCellMar>
        </w:tblPrEx>
        <w:trPr>
          <w:jc w:val="center"/>
        </w:trPr>
        <w:tc>
          <w:tcPr>
            <w:tcW w:w="10224" w:type="dxa"/>
            <w:shd w:val="clear" w:color="auto" w:fill="FFF2CC"/>
            <w:tcMar>
              <w:top w:w="140" w:type="dxa"/>
              <w:left w:w="140" w:type="dxa"/>
              <w:bottom w:w="140" w:type="dxa"/>
              <w:right w:w="140" w:type="dxa"/>
            </w:tcMar>
          </w:tcPr>
          <w:p w14:paraId="567EC4C6">
            <w:pPr>
              <w:spacing w:after="60"/>
            </w:pPr>
            <w:r>
              <w:rPr>
                <w:b/>
                <w:color w:val="17365D"/>
                <w:sz w:val="21"/>
              </w:rPr>
              <w:t>Downstream handoff rule</w:t>
            </w:r>
          </w:p>
          <w:p w14:paraId="65BB04BF">
            <w:pPr>
              <w:spacing w:after="0"/>
            </w:pPr>
            <w:r>
              <w:rPr>
                <w:sz w:val="19"/>
              </w:rPr>
              <w:t>No modelling or final preprocessing decision should be treated as final until the team has reviewed the data-quality findings in this document and the Data Preparation Lead has documented how each identified issue will be handled.</w:t>
            </w:r>
          </w:p>
        </w:tc>
      </w:tr>
    </w:tbl>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020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8" w:type="dxa"/>
            <w:shd w:val="clear" w:color="auto" w:fill="17365D"/>
            <w:tcMar>
              <w:top w:w="80" w:type="dxa"/>
              <w:left w:w="80" w:type="dxa"/>
              <w:bottom w:w="80" w:type="dxa"/>
              <w:right w:w="80" w:type="dxa"/>
            </w:tcMar>
            <w:vAlign w:val="center"/>
          </w:tcPr>
          <w:p w14:paraId="573DB94B">
            <w:pPr>
              <w:spacing w:after="0" w:line="240" w:lineRule="auto"/>
            </w:pPr>
            <w:r>
              <w:rPr>
                <w:rFonts w:ascii="Aptos" w:hAnsi="Aptos"/>
                <w:b/>
                <w:color w:val="FFFFFF"/>
                <w:sz w:val="18"/>
              </w:rPr>
              <w:t>Item</w:t>
            </w:r>
          </w:p>
        </w:tc>
        <w:tc>
          <w:tcPr>
            <w:tcW w:w="3408" w:type="dxa"/>
            <w:shd w:val="clear" w:color="auto" w:fill="17365D"/>
            <w:tcMar>
              <w:top w:w="80" w:type="dxa"/>
              <w:left w:w="80" w:type="dxa"/>
              <w:bottom w:w="80" w:type="dxa"/>
              <w:right w:w="80" w:type="dxa"/>
            </w:tcMar>
            <w:vAlign w:val="center"/>
          </w:tcPr>
          <w:p w14:paraId="4E0FB92B">
            <w:pPr>
              <w:spacing w:after="0" w:line="240" w:lineRule="auto"/>
            </w:pPr>
            <w:r>
              <w:rPr>
                <w:rFonts w:ascii="Aptos" w:hAnsi="Aptos"/>
                <w:b/>
                <w:color w:val="FFFFFF"/>
                <w:sz w:val="18"/>
              </w:rPr>
              <w:t>Observed</w:t>
            </w:r>
          </w:p>
        </w:tc>
        <w:tc>
          <w:tcPr>
            <w:tcW w:w="3408" w:type="dxa"/>
            <w:shd w:val="clear" w:color="auto" w:fill="17365D"/>
            <w:tcMar>
              <w:top w:w="80" w:type="dxa"/>
              <w:left w:w="80" w:type="dxa"/>
              <w:bottom w:w="80" w:type="dxa"/>
              <w:right w:w="80" w:type="dxa"/>
            </w:tcMar>
            <w:vAlign w:val="center"/>
          </w:tcPr>
          <w:p w14:paraId="76FAB03F">
            <w:pPr>
              <w:spacing w:after="0" w:line="240" w:lineRule="auto"/>
            </w:pPr>
            <w:r>
              <w:rPr>
                <w:rFonts w:ascii="Aptos" w:hAnsi="Aptos"/>
                <w:b/>
                <w:color w:val="FFFFFF"/>
                <w:sz w:val="18"/>
              </w:rPr>
              <w:t>Interpretation</w:t>
            </w:r>
          </w:p>
        </w:tc>
      </w:tr>
      <w:tr w14:paraId="1E971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35FCE5DA">
            <w:pPr>
              <w:spacing w:after="0" w:line="240" w:lineRule="auto"/>
            </w:pPr>
            <w:r>
              <w:rPr>
                <w:rFonts w:ascii="Aptos" w:hAnsi="Aptos"/>
                <w:b w:val="0"/>
                <w:color w:val="222222"/>
                <w:sz w:val="18"/>
              </w:rPr>
              <w:t>Rows / customers</w:t>
            </w:r>
          </w:p>
        </w:tc>
        <w:tc>
          <w:tcPr>
            <w:tcW w:w="3408" w:type="dxa"/>
            <w:tcMar>
              <w:top w:w="80" w:type="dxa"/>
              <w:left w:w="80" w:type="dxa"/>
              <w:bottom w:w="80" w:type="dxa"/>
              <w:right w:w="80" w:type="dxa"/>
            </w:tcMar>
            <w:vAlign w:val="center"/>
          </w:tcPr>
          <w:p w14:paraId="6730ACB4">
            <w:pPr>
              <w:spacing w:after="0" w:line="240" w:lineRule="auto"/>
            </w:pPr>
            <w:r>
              <w:rPr>
                <w:rFonts w:ascii="Aptos" w:hAnsi="Aptos"/>
                <w:b w:val="0"/>
                <w:color w:val="222222"/>
                <w:sz w:val="18"/>
              </w:rPr>
              <w:t>7,043</w:t>
            </w:r>
          </w:p>
        </w:tc>
        <w:tc>
          <w:tcPr>
            <w:tcW w:w="3408" w:type="dxa"/>
            <w:tcMar>
              <w:top w:w="80" w:type="dxa"/>
              <w:left w:w="80" w:type="dxa"/>
              <w:bottom w:w="80" w:type="dxa"/>
              <w:right w:w="80" w:type="dxa"/>
            </w:tcMar>
            <w:vAlign w:val="center"/>
          </w:tcPr>
          <w:p w14:paraId="6B1424B6">
            <w:pPr>
              <w:spacing w:after="0" w:line="240" w:lineRule="auto"/>
            </w:pPr>
            <w:r>
              <w:rPr>
                <w:rFonts w:ascii="Aptos" w:hAnsi="Aptos"/>
                <w:b w:val="0"/>
                <w:color w:val="222222"/>
                <w:sz w:val="18"/>
              </w:rPr>
              <w:t>One row corresponds to one customer record in the supplied CSV.</w:t>
            </w:r>
          </w:p>
        </w:tc>
      </w:tr>
      <w:tr w14:paraId="325A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2783AC66">
            <w:pPr>
              <w:spacing w:after="0" w:line="240" w:lineRule="auto"/>
            </w:pPr>
            <w:r>
              <w:rPr>
                <w:rFonts w:ascii="Aptos" w:hAnsi="Aptos"/>
                <w:b w:val="0"/>
                <w:color w:val="222222"/>
                <w:sz w:val="18"/>
              </w:rPr>
              <w:t>Columns</w:t>
            </w:r>
          </w:p>
        </w:tc>
        <w:tc>
          <w:tcPr>
            <w:tcW w:w="3408" w:type="dxa"/>
            <w:tcMar>
              <w:top w:w="80" w:type="dxa"/>
              <w:left w:w="80" w:type="dxa"/>
              <w:bottom w:w="80" w:type="dxa"/>
              <w:right w:w="80" w:type="dxa"/>
            </w:tcMar>
            <w:vAlign w:val="center"/>
          </w:tcPr>
          <w:p w14:paraId="7B80FC0D">
            <w:pPr>
              <w:spacing w:after="0" w:line="240" w:lineRule="auto"/>
            </w:pPr>
            <w:r>
              <w:rPr>
                <w:rFonts w:ascii="Aptos" w:hAnsi="Aptos"/>
                <w:b w:val="0"/>
                <w:color w:val="222222"/>
                <w:sz w:val="18"/>
              </w:rPr>
              <w:t>21</w:t>
            </w:r>
          </w:p>
        </w:tc>
        <w:tc>
          <w:tcPr>
            <w:tcW w:w="3408" w:type="dxa"/>
            <w:tcMar>
              <w:top w:w="80" w:type="dxa"/>
              <w:left w:w="80" w:type="dxa"/>
              <w:bottom w:w="80" w:type="dxa"/>
              <w:right w:w="80" w:type="dxa"/>
            </w:tcMar>
            <w:vAlign w:val="center"/>
          </w:tcPr>
          <w:p w14:paraId="70C47335">
            <w:pPr>
              <w:spacing w:after="0" w:line="240" w:lineRule="auto"/>
            </w:pPr>
            <w:r>
              <w:rPr>
                <w:rFonts w:ascii="Aptos" w:hAnsi="Aptos"/>
                <w:b w:val="0"/>
                <w:color w:val="222222"/>
                <w:sz w:val="18"/>
              </w:rPr>
              <w:t>20 input fields plus the Churn target, including customerID as an identifier.</w:t>
            </w:r>
          </w:p>
        </w:tc>
      </w:tr>
      <w:tr w14:paraId="00AA9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7E6FC505">
            <w:pPr>
              <w:spacing w:after="0" w:line="240" w:lineRule="auto"/>
            </w:pPr>
            <w:r>
              <w:rPr>
                <w:rFonts w:ascii="Aptos" w:hAnsi="Aptos"/>
                <w:b w:val="0"/>
                <w:color w:val="222222"/>
                <w:sz w:val="18"/>
              </w:rPr>
              <w:t>Target</w:t>
            </w:r>
          </w:p>
        </w:tc>
        <w:tc>
          <w:tcPr>
            <w:tcW w:w="3408" w:type="dxa"/>
            <w:tcMar>
              <w:top w:w="80" w:type="dxa"/>
              <w:left w:w="80" w:type="dxa"/>
              <w:bottom w:w="80" w:type="dxa"/>
              <w:right w:w="80" w:type="dxa"/>
            </w:tcMar>
            <w:vAlign w:val="center"/>
          </w:tcPr>
          <w:p w14:paraId="6EB0ED54">
            <w:pPr>
              <w:spacing w:after="0" w:line="240" w:lineRule="auto"/>
            </w:pPr>
            <w:r>
              <w:rPr>
                <w:rFonts w:ascii="Aptos" w:hAnsi="Aptos"/>
                <w:b w:val="0"/>
                <w:color w:val="222222"/>
                <w:sz w:val="18"/>
              </w:rPr>
              <w:t>Churn</w:t>
            </w:r>
          </w:p>
        </w:tc>
        <w:tc>
          <w:tcPr>
            <w:tcW w:w="3408" w:type="dxa"/>
            <w:tcMar>
              <w:top w:w="80" w:type="dxa"/>
              <w:left w:w="80" w:type="dxa"/>
              <w:bottom w:w="80" w:type="dxa"/>
              <w:right w:w="80" w:type="dxa"/>
            </w:tcMar>
            <w:vAlign w:val="center"/>
          </w:tcPr>
          <w:p w14:paraId="439CD359">
            <w:pPr>
              <w:spacing w:after="0" w:line="240" w:lineRule="auto"/>
            </w:pPr>
            <w:r>
              <w:rPr>
                <w:rFonts w:ascii="Aptos" w:hAnsi="Aptos"/>
                <w:b w:val="0"/>
                <w:color w:val="222222"/>
                <w:sz w:val="18"/>
              </w:rPr>
              <w:t>Binary nominal outcome: Yes / No.</w:t>
            </w:r>
          </w:p>
        </w:tc>
      </w:tr>
      <w:tr w14:paraId="4F78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31C22E78">
            <w:pPr>
              <w:spacing w:after="0" w:line="240" w:lineRule="auto"/>
            </w:pPr>
            <w:r>
              <w:rPr>
                <w:rFonts w:ascii="Aptos" w:hAnsi="Aptos"/>
                <w:b w:val="0"/>
                <w:color w:val="222222"/>
                <w:sz w:val="18"/>
              </w:rPr>
              <w:t>Churn distribution</w:t>
            </w:r>
          </w:p>
        </w:tc>
        <w:tc>
          <w:tcPr>
            <w:tcW w:w="3408" w:type="dxa"/>
            <w:tcMar>
              <w:top w:w="80" w:type="dxa"/>
              <w:left w:w="80" w:type="dxa"/>
              <w:bottom w:w="80" w:type="dxa"/>
              <w:right w:w="80" w:type="dxa"/>
            </w:tcMar>
            <w:vAlign w:val="center"/>
          </w:tcPr>
          <w:p w14:paraId="728E5227">
            <w:pPr>
              <w:spacing w:after="0" w:line="240" w:lineRule="auto"/>
            </w:pPr>
            <w:r>
              <w:rPr>
                <w:rFonts w:ascii="Aptos" w:hAnsi="Aptos"/>
                <w:b w:val="0"/>
                <w:color w:val="222222"/>
                <w:sz w:val="18"/>
              </w:rPr>
              <w:t>5,174 No (73.46%) / 1,869 Yes (26.54%)</w:t>
            </w:r>
          </w:p>
        </w:tc>
        <w:tc>
          <w:tcPr>
            <w:tcW w:w="3408" w:type="dxa"/>
            <w:tcMar>
              <w:top w:w="80" w:type="dxa"/>
              <w:left w:w="80" w:type="dxa"/>
              <w:bottom w:w="80" w:type="dxa"/>
              <w:right w:w="80" w:type="dxa"/>
            </w:tcMar>
            <w:vAlign w:val="center"/>
          </w:tcPr>
          <w:p w14:paraId="6FCCA8F6">
            <w:pPr>
              <w:spacing w:after="0" w:line="240" w:lineRule="auto"/>
            </w:pPr>
            <w:r>
              <w:rPr>
                <w:rFonts w:ascii="Aptos" w:hAnsi="Aptos"/>
                <w:b w:val="0"/>
                <w:color w:val="222222"/>
                <w:sz w:val="18"/>
              </w:rPr>
              <w:t>The target is not evenly balanced.</w:t>
            </w:r>
          </w:p>
        </w:tc>
      </w:tr>
      <w:tr w14:paraId="44AD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5CE82486">
            <w:pPr>
              <w:spacing w:after="0" w:line="240" w:lineRule="auto"/>
            </w:pPr>
            <w:r>
              <w:rPr>
                <w:rFonts w:ascii="Aptos" w:hAnsi="Aptos"/>
                <w:b w:val="0"/>
                <w:color w:val="222222"/>
                <w:sz w:val="18"/>
              </w:rPr>
              <w:t>Exact duplicate rows</w:t>
            </w:r>
          </w:p>
        </w:tc>
        <w:tc>
          <w:tcPr>
            <w:tcW w:w="3408" w:type="dxa"/>
            <w:tcMar>
              <w:top w:w="80" w:type="dxa"/>
              <w:left w:w="80" w:type="dxa"/>
              <w:bottom w:w="80" w:type="dxa"/>
              <w:right w:w="80" w:type="dxa"/>
            </w:tcMar>
            <w:vAlign w:val="center"/>
          </w:tcPr>
          <w:p w14:paraId="45711517">
            <w:pPr>
              <w:spacing w:after="0" w:line="240" w:lineRule="auto"/>
            </w:pPr>
            <w:r>
              <w:rPr>
                <w:rFonts w:ascii="Aptos" w:hAnsi="Aptos"/>
                <w:b w:val="0"/>
                <w:color w:val="222222"/>
                <w:sz w:val="18"/>
              </w:rPr>
              <w:t>0</w:t>
            </w:r>
          </w:p>
        </w:tc>
        <w:tc>
          <w:tcPr>
            <w:tcW w:w="3408" w:type="dxa"/>
            <w:tcMar>
              <w:top w:w="80" w:type="dxa"/>
              <w:left w:w="80" w:type="dxa"/>
              <w:bottom w:w="80" w:type="dxa"/>
              <w:right w:w="80" w:type="dxa"/>
            </w:tcMar>
            <w:vAlign w:val="center"/>
          </w:tcPr>
          <w:p w14:paraId="41C57A0A">
            <w:pPr>
              <w:spacing w:after="0" w:line="240" w:lineRule="auto"/>
            </w:pPr>
            <w:r>
              <w:rPr>
                <w:rFonts w:ascii="Aptos" w:hAnsi="Aptos"/>
                <w:b w:val="0"/>
                <w:color w:val="222222"/>
                <w:sz w:val="18"/>
              </w:rPr>
              <w:t>No fully duplicated records detected in the raw file.</w:t>
            </w:r>
          </w:p>
        </w:tc>
      </w:tr>
      <w:tr w14:paraId="31E0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4DAB05FA">
            <w:pPr>
              <w:spacing w:after="0" w:line="240" w:lineRule="auto"/>
            </w:pPr>
            <w:r>
              <w:rPr>
                <w:rFonts w:ascii="Aptos" w:hAnsi="Aptos"/>
                <w:b w:val="0"/>
                <w:color w:val="222222"/>
                <w:sz w:val="18"/>
              </w:rPr>
              <w:t>Duplicate customer IDs</w:t>
            </w:r>
          </w:p>
        </w:tc>
        <w:tc>
          <w:tcPr>
            <w:tcW w:w="3408" w:type="dxa"/>
            <w:tcMar>
              <w:top w:w="80" w:type="dxa"/>
              <w:left w:w="80" w:type="dxa"/>
              <w:bottom w:w="80" w:type="dxa"/>
              <w:right w:w="80" w:type="dxa"/>
            </w:tcMar>
            <w:vAlign w:val="center"/>
          </w:tcPr>
          <w:p w14:paraId="53C1BDB4">
            <w:pPr>
              <w:spacing w:after="0" w:line="240" w:lineRule="auto"/>
            </w:pPr>
            <w:r>
              <w:rPr>
                <w:rFonts w:ascii="Aptos" w:hAnsi="Aptos"/>
                <w:b w:val="0"/>
                <w:color w:val="222222"/>
                <w:sz w:val="18"/>
              </w:rPr>
              <w:t>0</w:t>
            </w:r>
          </w:p>
        </w:tc>
        <w:tc>
          <w:tcPr>
            <w:tcW w:w="3408" w:type="dxa"/>
            <w:tcMar>
              <w:top w:w="80" w:type="dxa"/>
              <w:left w:w="80" w:type="dxa"/>
              <w:bottom w:w="80" w:type="dxa"/>
              <w:right w:w="80" w:type="dxa"/>
            </w:tcMar>
            <w:vAlign w:val="center"/>
          </w:tcPr>
          <w:p w14:paraId="2848FC6C">
            <w:pPr>
              <w:spacing w:after="0" w:line="240" w:lineRule="auto"/>
            </w:pPr>
            <w:r>
              <w:rPr>
                <w:rFonts w:ascii="Aptos" w:hAnsi="Aptos"/>
                <w:b w:val="0"/>
                <w:color w:val="222222"/>
                <w:sz w:val="18"/>
              </w:rPr>
              <w:t>customerID is unique in this extract.</w:t>
            </w:r>
          </w:p>
        </w:tc>
      </w:tr>
      <w:tr w14:paraId="47C31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04BE3E8A">
            <w:pPr>
              <w:spacing w:after="0" w:line="240" w:lineRule="auto"/>
            </w:pPr>
            <w:r>
              <w:rPr>
                <w:rFonts w:ascii="Aptos" w:hAnsi="Aptos"/>
                <w:b w:val="0"/>
                <w:color w:val="222222"/>
                <w:sz w:val="18"/>
              </w:rPr>
              <w:t>Whitespace-only TotalCharges</w:t>
            </w:r>
          </w:p>
        </w:tc>
        <w:tc>
          <w:tcPr>
            <w:tcW w:w="3408" w:type="dxa"/>
            <w:tcMar>
              <w:top w:w="80" w:type="dxa"/>
              <w:left w:w="80" w:type="dxa"/>
              <w:bottom w:w="80" w:type="dxa"/>
              <w:right w:w="80" w:type="dxa"/>
            </w:tcMar>
            <w:vAlign w:val="center"/>
          </w:tcPr>
          <w:p w14:paraId="06E99F1C">
            <w:pPr>
              <w:spacing w:after="0" w:line="240" w:lineRule="auto"/>
            </w:pPr>
            <w:r>
              <w:rPr>
                <w:rFonts w:ascii="Aptos" w:hAnsi="Aptos"/>
                <w:b w:val="0"/>
                <w:color w:val="222222"/>
                <w:sz w:val="18"/>
              </w:rPr>
              <w:t>11</w:t>
            </w:r>
          </w:p>
        </w:tc>
        <w:tc>
          <w:tcPr>
            <w:tcW w:w="3408" w:type="dxa"/>
            <w:tcMar>
              <w:top w:w="80" w:type="dxa"/>
              <w:left w:w="80" w:type="dxa"/>
              <w:bottom w:w="80" w:type="dxa"/>
              <w:right w:w="80" w:type="dxa"/>
            </w:tcMar>
            <w:vAlign w:val="center"/>
          </w:tcPr>
          <w:p w14:paraId="3CB0C98B">
            <w:pPr>
              <w:spacing w:after="0" w:line="240" w:lineRule="auto"/>
            </w:pPr>
            <w:r>
              <w:rPr>
                <w:rFonts w:ascii="Aptos" w:hAnsi="Aptos"/>
                <w:b w:val="0"/>
                <w:color w:val="222222"/>
                <w:sz w:val="18"/>
              </w:rPr>
              <w:t>All 11 occur at tenure = 0 and require explicit treatment before numeric conversion.</w:t>
            </w:r>
          </w:p>
        </w:tc>
      </w:tr>
    </w:tbl>
    <w:p w14:paraId="0EB67C43">
      <w:pPr>
        <w:spacing w:line="259" w:lineRule="auto"/>
      </w:pPr>
      <w:r>
        <w:br w:type="page"/>
      </w:r>
    </w:p>
    <w:p w14:paraId="4F866BEF">
      <w:pPr>
        <w:pStyle w:val="2"/>
        <w:spacing w:line="259" w:lineRule="auto"/>
      </w:pPr>
      <w:r>
        <w:t>2. Dataset Scope and Project Context</w:t>
      </w:r>
    </w:p>
    <w:p w14:paraId="7A1089BF">
      <w:pPr>
        <w:pStyle w:val="3"/>
        <w:spacing w:line="259" w:lineRule="auto"/>
      </w:pPr>
      <w:r>
        <w:t>2.1 Dataset identity</w:t>
      </w:r>
    </w:p>
    <w:p w14:paraId="0F187ABB">
      <w:pPr>
        <w:pStyle w:val="23"/>
        <w:spacing w:after="60" w:line="259" w:lineRule="auto"/>
      </w:pPr>
      <w:r>
        <w:t>Working dataset file: Customer_churn.csv</w:t>
      </w:r>
    </w:p>
    <w:p w14:paraId="55AD230B">
      <w:pPr>
        <w:pStyle w:val="23"/>
        <w:spacing w:after="60" w:line="259" w:lineRule="auto"/>
      </w:pPr>
      <w:r>
        <w:t>Observed shape: 7,043 rows × 21 columns.</w:t>
      </w:r>
    </w:p>
    <w:p w14:paraId="0BA1B96D">
      <w:pPr>
        <w:pStyle w:val="23"/>
        <w:spacing w:after="60" w:line="259" w:lineRule="auto"/>
      </w:pPr>
      <w:r>
        <w:t>The project brief specifies the IBM Telco Customer Churn sample/classroom dataset as the source for the group project.</w:t>
      </w:r>
    </w:p>
    <w:p w14:paraId="6B575EEE">
      <w:pPr>
        <w:pStyle w:val="23"/>
        <w:spacing w:after="60" w:line="259" w:lineRule="auto"/>
      </w:pPr>
      <w:r>
        <w:t>This classroom dataset must not be presented as real customer data from MTN, Airtel, Glo, 9mobile or another Nigerian telecom operator.</w:t>
      </w:r>
    </w:p>
    <w:p w14:paraId="32BB3D5C">
      <w:pPr>
        <w:pStyle w:val="3"/>
        <w:spacing w:line="259" w:lineRule="auto"/>
      </w:pPr>
      <w:r>
        <w:t>2.2 Target definition</w:t>
      </w:r>
    </w:p>
    <w:p w14:paraId="073989FA">
      <w:pPr>
        <w:spacing w:line="259" w:lineRule="auto"/>
      </w:pPr>
      <w:r>
        <w:t>For the team’s working definition, Churn is a binary nominal target with values Yes and No, where Yes represents the customer discontinuing the service and No represents the customer remaining with the service. The team discussion framed this as the customer having discontinued service within the last month.</w:t>
      </w:r>
    </w:p>
    <w:tbl>
      <w:tblPr>
        <w:tblStyle w:val="12"/>
        <w:tblW w:w="0" w:type="auto"/>
        <w:jc w:val="center"/>
        <w:tblLayout w:type="autofit"/>
        <w:tblCellMar>
          <w:top w:w="0" w:type="dxa"/>
          <w:left w:w="108" w:type="dxa"/>
          <w:bottom w:w="0" w:type="dxa"/>
          <w:right w:w="108" w:type="dxa"/>
        </w:tblCellMar>
      </w:tblPr>
      <w:tblGrid>
        <w:gridCol w:w="10224"/>
      </w:tblGrid>
      <w:tr w14:paraId="03D4D835">
        <w:tblPrEx>
          <w:tblCellMar>
            <w:top w:w="0" w:type="dxa"/>
            <w:left w:w="108" w:type="dxa"/>
            <w:bottom w:w="0" w:type="dxa"/>
            <w:right w:w="108" w:type="dxa"/>
          </w:tblCellMar>
        </w:tblPrEx>
        <w:trPr>
          <w:jc w:val="center"/>
        </w:trPr>
        <w:tc>
          <w:tcPr>
            <w:tcW w:w="10224" w:type="dxa"/>
            <w:shd w:val="clear" w:color="auto" w:fill="FCE4D6"/>
            <w:tcMar>
              <w:top w:w="140" w:type="dxa"/>
              <w:left w:w="140" w:type="dxa"/>
              <w:bottom w:w="140" w:type="dxa"/>
              <w:right w:w="140" w:type="dxa"/>
            </w:tcMar>
          </w:tcPr>
          <w:p w14:paraId="73B0C3DF">
            <w:pPr>
              <w:spacing w:after="60"/>
            </w:pPr>
            <w:r>
              <w:rPr>
                <w:b/>
                <w:color w:val="17365D"/>
                <w:sz w:val="21"/>
              </w:rPr>
              <w:t>Important scope note about time</w:t>
            </w:r>
          </w:p>
          <w:p w14:paraId="4CB28D6A">
            <w:pPr>
              <w:spacing w:after="0"/>
            </w:pPr>
            <w:r>
              <w:rPr>
                <w:sz w:val="19"/>
              </w:rPr>
              <w:t>The CSV contains no explicit churn date or event timestamp. Therefore, the “within the last month” timing is a project/business interpretation rather than a time interval that can be independently verified from this raw file.</w:t>
            </w:r>
          </w:p>
        </w:tc>
      </w:tr>
    </w:tbl>
    <w:p w14:paraId="09E6BDC5">
      <w:pPr>
        <w:pStyle w:val="3"/>
        <w:spacing w:line="259" w:lineRule="auto"/>
      </w:pPr>
      <w:r>
        <w:t>2.3 What one row represents</w:t>
      </w:r>
    </w:p>
    <w:p w14:paraId="66DAE0CA">
      <w:pPr>
        <w:spacing w:line="259" w:lineRule="auto"/>
      </w:pPr>
      <w:r>
        <w:t>Each row represents a single customer profile containing demographic characteristics, tenure, subscribed services, contract/payment information, monthly and cumulative charges, and the Churn outcome. customerID uniquely identifies the record but is an identifier rather than a behavioural predictor.</w:t>
      </w:r>
    </w:p>
    <w:p w14:paraId="69FC7993">
      <w:pPr>
        <w:pStyle w:val="2"/>
        <w:spacing w:line="259" w:lineRule="auto"/>
      </w:pPr>
      <w:r>
        <w:t>3. Data Schema and Feature Definitions</w:t>
      </w:r>
    </w:p>
    <w:p w14:paraId="44A09127">
      <w:pPr>
        <w:spacing w:line="259" w:lineRule="auto"/>
      </w:pPr>
      <w:r>
        <w:t>The team organized the 21 columns into four operational dimensions plus the target variable. The definitions below are the shared working definitions agreed during the technical walkthrough and grounded in the supplied CSV structure.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43FA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5" w:type="dxa"/>
            <w:shd w:val="clear" w:color="auto" w:fill="1F4E79"/>
            <w:tcMar>
              <w:top w:w="80" w:type="dxa"/>
              <w:left w:w="80" w:type="dxa"/>
              <w:bottom w:w="80" w:type="dxa"/>
              <w:right w:w="80" w:type="dxa"/>
            </w:tcMar>
            <w:vAlign w:val="center"/>
          </w:tcPr>
          <w:p w14:paraId="5A13F298">
            <w:pPr>
              <w:spacing w:after="0" w:line="240" w:lineRule="auto"/>
            </w:pPr>
            <w:r>
              <w:rPr>
                <w:rFonts w:ascii="Aptos" w:hAnsi="Aptos"/>
                <w:b/>
                <w:color w:val="FFFFFF"/>
                <w:sz w:val="17"/>
              </w:rPr>
              <w:t>Dimension</w:t>
            </w:r>
          </w:p>
        </w:tc>
        <w:tc>
          <w:tcPr>
            <w:tcW w:w="2045" w:type="dxa"/>
            <w:shd w:val="clear" w:color="auto" w:fill="1F4E79"/>
            <w:tcMar>
              <w:top w:w="80" w:type="dxa"/>
              <w:left w:w="80" w:type="dxa"/>
              <w:bottom w:w="80" w:type="dxa"/>
              <w:right w:w="80" w:type="dxa"/>
            </w:tcMar>
            <w:vAlign w:val="center"/>
          </w:tcPr>
          <w:p w14:paraId="4300A69E">
            <w:pPr>
              <w:spacing w:after="0" w:line="240" w:lineRule="auto"/>
            </w:pPr>
            <w:r>
              <w:rPr>
                <w:rFonts w:ascii="Aptos" w:hAnsi="Aptos"/>
                <w:b/>
                <w:color w:val="FFFFFF"/>
                <w:sz w:val="17"/>
              </w:rPr>
              <w:t>Field</w:t>
            </w:r>
          </w:p>
        </w:tc>
        <w:tc>
          <w:tcPr>
            <w:tcW w:w="2045" w:type="dxa"/>
            <w:shd w:val="clear" w:color="auto" w:fill="1F4E79"/>
            <w:tcMar>
              <w:top w:w="80" w:type="dxa"/>
              <w:left w:w="80" w:type="dxa"/>
              <w:bottom w:w="80" w:type="dxa"/>
              <w:right w:w="80" w:type="dxa"/>
            </w:tcMar>
            <w:vAlign w:val="center"/>
          </w:tcPr>
          <w:p w14:paraId="7E4C2706">
            <w:pPr>
              <w:spacing w:after="0" w:line="240" w:lineRule="auto"/>
            </w:pPr>
            <w:r>
              <w:rPr>
                <w:rFonts w:ascii="Aptos" w:hAnsi="Aptos"/>
                <w:b/>
                <w:color w:val="FFFFFF"/>
                <w:sz w:val="17"/>
              </w:rPr>
              <w:t>Data form</w:t>
            </w:r>
          </w:p>
        </w:tc>
        <w:tc>
          <w:tcPr>
            <w:tcW w:w="2045" w:type="dxa"/>
            <w:shd w:val="clear" w:color="auto" w:fill="1F4E79"/>
            <w:tcMar>
              <w:top w:w="80" w:type="dxa"/>
              <w:left w:w="80" w:type="dxa"/>
              <w:bottom w:w="80" w:type="dxa"/>
              <w:right w:w="80" w:type="dxa"/>
            </w:tcMar>
            <w:vAlign w:val="center"/>
          </w:tcPr>
          <w:p w14:paraId="071813DC">
            <w:pPr>
              <w:spacing w:after="0" w:line="240" w:lineRule="auto"/>
            </w:pPr>
            <w:r>
              <w:rPr>
                <w:rFonts w:ascii="Aptos" w:hAnsi="Aptos"/>
                <w:b/>
                <w:color w:val="FFFFFF"/>
                <w:sz w:val="17"/>
              </w:rPr>
              <w:t>Observed values / pattern</w:t>
            </w:r>
          </w:p>
        </w:tc>
        <w:tc>
          <w:tcPr>
            <w:tcW w:w="2045" w:type="dxa"/>
            <w:shd w:val="clear" w:color="auto" w:fill="1F4E79"/>
            <w:tcMar>
              <w:top w:w="80" w:type="dxa"/>
              <w:left w:w="80" w:type="dxa"/>
              <w:bottom w:w="80" w:type="dxa"/>
              <w:right w:w="80" w:type="dxa"/>
            </w:tcMar>
            <w:vAlign w:val="center"/>
          </w:tcPr>
          <w:p w14:paraId="5CBD3927">
            <w:pPr>
              <w:spacing w:after="0" w:line="240" w:lineRule="auto"/>
            </w:pPr>
            <w:r>
              <w:rPr>
                <w:rFonts w:ascii="Aptos" w:hAnsi="Aptos"/>
                <w:b/>
                <w:color w:val="FFFFFF"/>
                <w:sz w:val="17"/>
              </w:rPr>
              <w:t>Shared meaning</w:t>
            </w:r>
          </w:p>
        </w:tc>
      </w:tr>
      <w:tr w14:paraId="1557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3BA2A15C">
            <w:pPr>
              <w:spacing w:after="0" w:line="240" w:lineRule="auto"/>
            </w:pPr>
            <w:r>
              <w:rPr>
                <w:rFonts w:ascii="Aptos" w:hAnsi="Aptos"/>
                <w:b w:val="0"/>
                <w:color w:val="222222"/>
                <w:sz w:val="16"/>
              </w:rPr>
              <w:t>Target</w:t>
            </w:r>
          </w:p>
        </w:tc>
        <w:tc>
          <w:tcPr>
            <w:tcW w:w="2045" w:type="dxa"/>
            <w:tcMar>
              <w:top w:w="80" w:type="dxa"/>
              <w:left w:w="80" w:type="dxa"/>
              <w:bottom w:w="80" w:type="dxa"/>
              <w:right w:w="80" w:type="dxa"/>
            </w:tcMar>
            <w:vAlign w:val="center"/>
          </w:tcPr>
          <w:p w14:paraId="3E951DD9">
            <w:pPr>
              <w:spacing w:after="0" w:line="240" w:lineRule="auto"/>
            </w:pPr>
            <w:r>
              <w:rPr>
                <w:rFonts w:ascii="Aptos" w:hAnsi="Aptos"/>
                <w:b w:val="0"/>
                <w:color w:val="222222"/>
                <w:sz w:val="16"/>
              </w:rPr>
              <w:t>Churn</w:t>
            </w:r>
          </w:p>
        </w:tc>
        <w:tc>
          <w:tcPr>
            <w:tcW w:w="2045" w:type="dxa"/>
            <w:tcMar>
              <w:top w:w="80" w:type="dxa"/>
              <w:left w:w="80" w:type="dxa"/>
              <w:bottom w:w="80" w:type="dxa"/>
              <w:right w:w="80" w:type="dxa"/>
            </w:tcMar>
            <w:vAlign w:val="center"/>
          </w:tcPr>
          <w:p w14:paraId="1125886A">
            <w:pPr>
              <w:spacing w:after="0" w:line="240" w:lineRule="auto"/>
            </w:pPr>
            <w:r>
              <w:rPr>
                <w:rFonts w:ascii="Aptos" w:hAnsi="Aptos"/>
                <w:b w:val="0"/>
                <w:color w:val="222222"/>
                <w:sz w:val="16"/>
              </w:rPr>
              <w:t>Categorical / binary nominal</w:t>
            </w:r>
          </w:p>
        </w:tc>
        <w:tc>
          <w:tcPr>
            <w:tcW w:w="2045" w:type="dxa"/>
            <w:tcMar>
              <w:top w:w="80" w:type="dxa"/>
              <w:left w:w="80" w:type="dxa"/>
              <w:bottom w:w="80" w:type="dxa"/>
              <w:right w:w="80" w:type="dxa"/>
            </w:tcMar>
            <w:vAlign w:val="center"/>
          </w:tcPr>
          <w:p w14:paraId="367501C5">
            <w:pPr>
              <w:spacing w:after="0" w:line="240" w:lineRule="auto"/>
            </w:pPr>
            <w:r>
              <w:rPr>
                <w:rFonts w:ascii="Aptos" w:hAnsi="Aptos"/>
                <w:b w:val="0"/>
                <w:color w:val="222222"/>
                <w:sz w:val="16"/>
              </w:rPr>
              <w:t>Yes / No</w:t>
            </w:r>
          </w:p>
        </w:tc>
        <w:tc>
          <w:tcPr>
            <w:tcW w:w="2045" w:type="dxa"/>
            <w:tcMar>
              <w:top w:w="80" w:type="dxa"/>
              <w:left w:w="80" w:type="dxa"/>
              <w:bottom w:w="80" w:type="dxa"/>
              <w:right w:w="80" w:type="dxa"/>
            </w:tcMar>
            <w:vAlign w:val="center"/>
          </w:tcPr>
          <w:p w14:paraId="10047933">
            <w:pPr>
              <w:spacing w:after="0" w:line="240" w:lineRule="auto"/>
            </w:pPr>
            <w:r>
              <w:rPr>
                <w:rFonts w:ascii="Aptos" w:hAnsi="Aptos"/>
                <w:b w:val="0"/>
                <w:color w:val="222222"/>
                <w:sz w:val="16"/>
              </w:rPr>
              <w:t>Whether the customer churned. This is the classification target.</w:t>
            </w:r>
          </w:p>
        </w:tc>
      </w:tr>
      <w:tr w14:paraId="43409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279BDFEB">
            <w:pPr>
              <w:spacing w:after="0" w:line="240" w:lineRule="auto"/>
            </w:pPr>
            <w:r>
              <w:rPr>
                <w:rFonts w:ascii="Aptos" w:hAnsi="Aptos"/>
                <w:b w:val="0"/>
                <w:color w:val="222222"/>
                <w:sz w:val="16"/>
              </w:rPr>
              <w:t>Account &amp; Financial</w:t>
            </w:r>
          </w:p>
        </w:tc>
        <w:tc>
          <w:tcPr>
            <w:tcW w:w="2045" w:type="dxa"/>
            <w:tcMar>
              <w:top w:w="80" w:type="dxa"/>
              <w:left w:w="80" w:type="dxa"/>
              <w:bottom w:w="80" w:type="dxa"/>
              <w:right w:w="80" w:type="dxa"/>
            </w:tcMar>
            <w:vAlign w:val="center"/>
          </w:tcPr>
          <w:p w14:paraId="353661AE">
            <w:pPr>
              <w:spacing w:after="0" w:line="240" w:lineRule="auto"/>
            </w:pPr>
            <w:r>
              <w:rPr>
                <w:rFonts w:ascii="Aptos" w:hAnsi="Aptos"/>
                <w:b w:val="0"/>
                <w:color w:val="222222"/>
                <w:sz w:val="16"/>
              </w:rPr>
              <w:t>customerID</w:t>
            </w:r>
          </w:p>
        </w:tc>
        <w:tc>
          <w:tcPr>
            <w:tcW w:w="2045" w:type="dxa"/>
            <w:tcMar>
              <w:top w:w="80" w:type="dxa"/>
              <w:left w:w="80" w:type="dxa"/>
              <w:bottom w:w="80" w:type="dxa"/>
              <w:right w:w="80" w:type="dxa"/>
            </w:tcMar>
            <w:vAlign w:val="center"/>
          </w:tcPr>
          <w:p w14:paraId="5F25CE6D">
            <w:pPr>
              <w:spacing w:after="0" w:line="240" w:lineRule="auto"/>
            </w:pPr>
            <w:r>
              <w:rPr>
                <w:rFonts w:ascii="Aptos" w:hAnsi="Aptos"/>
                <w:b w:val="0"/>
                <w:color w:val="222222"/>
                <w:sz w:val="16"/>
              </w:rPr>
              <w:t>Identifier</w:t>
            </w:r>
          </w:p>
        </w:tc>
        <w:tc>
          <w:tcPr>
            <w:tcW w:w="2045" w:type="dxa"/>
            <w:tcMar>
              <w:top w:w="80" w:type="dxa"/>
              <w:left w:w="80" w:type="dxa"/>
              <w:bottom w:w="80" w:type="dxa"/>
              <w:right w:w="80" w:type="dxa"/>
            </w:tcMar>
            <w:vAlign w:val="center"/>
          </w:tcPr>
          <w:p w14:paraId="5B523E40">
            <w:pPr>
              <w:spacing w:after="0" w:line="240" w:lineRule="auto"/>
            </w:pPr>
            <w:r>
              <w:rPr>
                <w:rFonts w:ascii="Aptos" w:hAnsi="Aptos"/>
                <w:b w:val="0"/>
                <w:color w:val="222222"/>
                <w:sz w:val="16"/>
              </w:rPr>
              <w:t>Unique customer ID</w:t>
            </w:r>
          </w:p>
        </w:tc>
        <w:tc>
          <w:tcPr>
            <w:tcW w:w="2045" w:type="dxa"/>
            <w:tcMar>
              <w:top w:w="80" w:type="dxa"/>
              <w:left w:w="80" w:type="dxa"/>
              <w:bottom w:w="80" w:type="dxa"/>
              <w:right w:w="80" w:type="dxa"/>
            </w:tcMar>
            <w:vAlign w:val="center"/>
          </w:tcPr>
          <w:p w14:paraId="457845D0">
            <w:pPr>
              <w:spacing w:after="0" w:line="240" w:lineRule="auto"/>
            </w:pPr>
            <w:r>
              <w:rPr>
                <w:rFonts w:ascii="Aptos" w:hAnsi="Aptos"/>
                <w:b w:val="0"/>
                <w:color w:val="222222"/>
                <w:sz w:val="16"/>
              </w:rPr>
              <w:t>Unique record identifier; should not be used as a predictive feature.</w:t>
            </w:r>
          </w:p>
        </w:tc>
      </w:tr>
      <w:tr w14:paraId="47630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6EC0D51B">
            <w:pPr>
              <w:spacing w:after="0" w:line="240" w:lineRule="auto"/>
            </w:pPr>
            <w:r>
              <w:rPr>
                <w:rFonts w:ascii="Aptos" w:hAnsi="Aptos"/>
                <w:b w:val="0"/>
                <w:color w:val="222222"/>
                <w:sz w:val="16"/>
              </w:rPr>
              <w:t>Account &amp; Financial</w:t>
            </w:r>
          </w:p>
        </w:tc>
        <w:tc>
          <w:tcPr>
            <w:tcW w:w="2045" w:type="dxa"/>
            <w:tcMar>
              <w:top w:w="80" w:type="dxa"/>
              <w:left w:w="80" w:type="dxa"/>
              <w:bottom w:w="80" w:type="dxa"/>
              <w:right w:w="80" w:type="dxa"/>
            </w:tcMar>
            <w:vAlign w:val="center"/>
          </w:tcPr>
          <w:p w14:paraId="5D7D1A2C">
            <w:pPr>
              <w:spacing w:after="0" w:line="240" w:lineRule="auto"/>
            </w:pPr>
            <w:r>
              <w:rPr>
                <w:rFonts w:ascii="Aptos" w:hAnsi="Aptos"/>
                <w:b w:val="0"/>
                <w:color w:val="222222"/>
                <w:sz w:val="16"/>
              </w:rPr>
              <w:t>tenure</w:t>
            </w:r>
          </w:p>
        </w:tc>
        <w:tc>
          <w:tcPr>
            <w:tcW w:w="2045" w:type="dxa"/>
            <w:tcMar>
              <w:top w:w="80" w:type="dxa"/>
              <w:left w:w="80" w:type="dxa"/>
              <w:bottom w:w="80" w:type="dxa"/>
              <w:right w:w="80" w:type="dxa"/>
            </w:tcMar>
            <w:vAlign w:val="center"/>
          </w:tcPr>
          <w:p w14:paraId="5FE5D15E">
            <w:pPr>
              <w:spacing w:after="0" w:line="240" w:lineRule="auto"/>
            </w:pPr>
            <w:r>
              <w:rPr>
                <w:rFonts w:ascii="Aptos" w:hAnsi="Aptos"/>
                <w:b w:val="0"/>
                <w:color w:val="222222"/>
                <w:sz w:val="16"/>
              </w:rPr>
              <w:t>Integer / numeric</w:t>
            </w:r>
          </w:p>
        </w:tc>
        <w:tc>
          <w:tcPr>
            <w:tcW w:w="2045" w:type="dxa"/>
            <w:tcMar>
              <w:top w:w="80" w:type="dxa"/>
              <w:left w:w="80" w:type="dxa"/>
              <w:bottom w:w="80" w:type="dxa"/>
              <w:right w:w="80" w:type="dxa"/>
            </w:tcMar>
            <w:vAlign w:val="center"/>
          </w:tcPr>
          <w:p w14:paraId="22B87C12">
            <w:pPr>
              <w:spacing w:after="0" w:line="240" w:lineRule="auto"/>
            </w:pPr>
            <w:r>
              <w:rPr>
                <w:rFonts w:ascii="Aptos" w:hAnsi="Aptos"/>
                <w:b w:val="0"/>
                <w:color w:val="222222"/>
                <w:sz w:val="16"/>
              </w:rPr>
              <w:t>0–72 months observed</w:t>
            </w:r>
          </w:p>
        </w:tc>
        <w:tc>
          <w:tcPr>
            <w:tcW w:w="2045" w:type="dxa"/>
            <w:tcMar>
              <w:top w:w="80" w:type="dxa"/>
              <w:left w:w="80" w:type="dxa"/>
              <w:bottom w:w="80" w:type="dxa"/>
              <w:right w:w="80" w:type="dxa"/>
            </w:tcMar>
            <w:vAlign w:val="center"/>
          </w:tcPr>
          <w:p w14:paraId="6FADECCE">
            <w:pPr>
              <w:spacing w:after="0" w:line="240" w:lineRule="auto"/>
            </w:pPr>
            <w:r>
              <w:rPr>
                <w:rFonts w:ascii="Aptos" w:hAnsi="Aptos"/>
                <w:b w:val="0"/>
                <w:color w:val="222222"/>
                <w:sz w:val="16"/>
              </w:rPr>
              <w:t>Number of months the customer has stayed with the company.</w:t>
            </w:r>
          </w:p>
        </w:tc>
      </w:tr>
      <w:tr w14:paraId="4FF34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46270C15">
            <w:pPr>
              <w:spacing w:after="0" w:line="240" w:lineRule="auto"/>
            </w:pPr>
            <w:r>
              <w:rPr>
                <w:rFonts w:ascii="Aptos" w:hAnsi="Aptos"/>
                <w:b w:val="0"/>
                <w:color w:val="222222"/>
                <w:sz w:val="16"/>
              </w:rPr>
              <w:t>Account &amp; Financial</w:t>
            </w:r>
          </w:p>
        </w:tc>
        <w:tc>
          <w:tcPr>
            <w:tcW w:w="2045" w:type="dxa"/>
            <w:tcMar>
              <w:top w:w="80" w:type="dxa"/>
              <w:left w:w="80" w:type="dxa"/>
              <w:bottom w:w="80" w:type="dxa"/>
              <w:right w:w="80" w:type="dxa"/>
            </w:tcMar>
            <w:vAlign w:val="center"/>
          </w:tcPr>
          <w:p w14:paraId="4E4E5242">
            <w:pPr>
              <w:spacing w:after="0" w:line="240" w:lineRule="auto"/>
            </w:pPr>
            <w:r>
              <w:rPr>
                <w:rFonts w:ascii="Aptos" w:hAnsi="Aptos"/>
                <w:b w:val="0"/>
                <w:color w:val="222222"/>
                <w:sz w:val="16"/>
              </w:rPr>
              <w:t>Contract</w:t>
            </w:r>
          </w:p>
        </w:tc>
        <w:tc>
          <w:tcPr>
            <w:tcW w:w="2045" w:type="dxa"/>
            <w:tcMar>
              <w:top w:w="80" w:type="dxa"/>
              <w:left w:w="80" w:type="dxa"/>
              <w:bottom w:w="80" w:type="dxa"/>
              <w:right w:w="80" w:type="dxa"/>
            </w:tcMar>
            <w:vAlign w:val="center"/>
          </w:tcPr>
          <w:p w14:paraId="03BDB57B">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5C3DBEA5">
            <w:pPr>
              <w:spacing w:after="0" w:line="240" w:lineRule="auto"/>
            </w:pPr>
            <w:r>
              <w:rPr>
                <w:rFonts w:ascii="Aptos" w:hAnsi="Aptos"/>
                <w:b w:val="0"/>
                <w:color w:val="222222"/>
                <w:sz w:val="16"/>
              </w:rPr>
              <w:t>Month-to-month; One year; Two year</w:t>
            </w:r>
          </w:p>
        </w:tc>
        <w:tc>
          <w:tcPr>
            <w:tcW w:w="2045" w:type="dxa"/>
            <w:tcMar>
              <w:top w:w="80" w:type="dxa"/>
              <w:left w:w="80" w:type="dxa"/>
              <w:bottom w:w="80" w:type="dxa"/>
              <w:right w:w="80" w:type="dxa"/>
            </w:tcMar>
            <w:vAlign w:val="center"/>
          </w:tcPr>
          <w:p w14:paraId="3B466AC7">
            <w:pPr>
              <w:spacing w:after="0" w:line="240" w:lineRule="auto"/>
            </w:pPr>
            <w:r>
              <w:rPr>
                <w:rFonts w:ascii="Aptos" w:hAnsi="Aptos"/>
                <w:b w:val="0"/>
                <w:color w:val="222222"/>
                <w:sz w:val="16"/>
              </w:rPr>
              <w:t>Customer contract commitment type.</w:t>
            </w:r>
          </w:p>
        </w:tc>
      </w:tr>
      <w:tr w14:paraId="4EA07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2FE74193">
            <w:pPr>
              <w:spacing w:after="0" w:line="240" w:lineRule="auto"/>
            </w:pPr>
            <w:r>
              <w:rPr>
                <w:rFonts w:ascii="Aptos" w:hAnsi="Aptos"/>
                <w:b w:val="0"/>
                <w:color w:val="222222"/>
                <w:sz w:val="16"/>
              </w:rPr>
              <w:t>Account &amp; Financial</w:t>
            </w:r>
          </w:p>
        </w:tc>
        <w:tc>
          <w:tcPr>
            <w:tcW w:w="2045" w:type="dxa"/>
            <w:tcMar>
              <w:top w:w="80" w:type="dxa"/>
              <w:left w:w="80" w:type="dxa"/>
              <w:bottom w:w="80" w:type="dxa"/>
              <w:right w:w="80" w:type="dxa"/>
            </w:tcMar>
            <w:vAlign w:val="center"/>
          </w:tcPr>
          <w:p w14:paraId="18186D4D">
            <w:pPr>
              <w:spacing w:after="0" w:line="240" w:lineRule="auto"/>
            </w:pPr>
            <w:r>
              <w:rPr>
                <w:rFonts w:ascii="Aptos" w:hAnsi="Aptos"/>
                <w:b w:val="0"/>
                <w:color w:val="222222"/>
                <w:sz w:val="16"/>
              </w:rPr>
              <w:t>PaperlessBilling</w:t>
            </w:r>
          </w:p>
        </w:tc>
        <w:tc>
          <w:tcPr>
            <w:tcW w:w="2045" w:type="dxa"/>
            <w:tcMar>
              <w:top w:w="80" w:type="dxa"/>
              <w:left w:w="80" w:type="dxa"/>
              <w:bottom w:w="80" w:type="dxa"/>
              <w:right w:w="80" w:type="dxa"/>
            </w:tcMar>
            <w:vAlign w:val="center"/>
          </w:tcPr>
          <w:p w14:paraId="2A6353CB">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730DFE14">
            <w:pPr>
              <w:spacing w:after="0" w:line="240" w:lineRule="auto"/>
            </w:pPr>
            <w:r>
              <w:rPr>
                <w:rFonts w:ascii="Aptos" w:hAnsi="Aptos"/>
                <w:b w:val="0"/>
                <w:color w:val="222222"/>
                <w:sz w:val="16"/>
              </w:rPr>
              <w:t>Yes / No</w:t>
            </w:r>
          </w:p>
        </w:tc>
        <w:tc>
          <w:tcPr>
            <w:tcW w:w="2045" w:type="dxa"/>
            <w:tcMar>
              <w:top w:w="80" w:type="dxa"/>
              <w:left w:w="80" w:type="dxa"/>
              <w:bottom w:w="80" w:type="dxa"/>
              <w:right w:w="80" w:type="dxa"/>
            </w:tcMar>
            <w:vAlign w:val="center"/>
          </w:tcPr>
          <w:p w14:paraId="16D5B607">
            <w:pPr>
              <w:spacing w:after="0" w:line="240" w:lineRule="auto"/>
            </w:pPr>
            <w:r>
              <w:rPr>
                <w:rFonts w:ascii="Aptos" w:hAnsi="Aptos"/>
                <w:b w:val="0"/>
                <w:color w:val="222222"/>
                <w:sz w:val="16"/>
              </w:rPr>
              <w:t>Whether paperless billing is used.</w:t>
            </w:r>
          </w:p>
        </w:tc>
      </w:tr>
      <w:tr w14:paraId="68B01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6519653F">
            <w:pPr>
              <w:spacing w:after="0" w:line="240" w:lineRule="auto"/>
            </w:pPr>
            <w:r>
              <w:rPr>
                <w:rFonts w:ascii="Aptos" w:hAnsi="Aptos"/>
                <w:b w:val="0"/>
                <w:color w:val="222222"/>
                <w:sz w:val="16"/>
              </w:rPr>
              <w:t>Account &amp; Financial</w:t>
            </w:r>
          </w:p>
        </w:tc>
        <w:tc>
          <w:tcPr>
            <w:tcW w:w="2045" w:type="dxa"/>
            <w:tcMar>
              <w:top w:w="80" w:type="dxa"/>
              <w:left w:w="80" w:type="dxa"/>
              <w:bottom w:w="80" w:type="dxa"/>
              <w:right w:w="80" w:type="dxa"/>
            </w:tcMar>
            <w:vAlign w:val="center"/>
          </w:tcPr>
          <w:p w14:paraId="055B6E3E">
            <w:pPr>
              <w:spacing w:after="0" w:line="240" w:lineRule="auto"/>
            </w:pPr>
            <w:r>
              <w:rPr>
                <w:rFonts w:ascii="Aptos" w:hAnsi="Aptos"/>
                <w:b w:val="0"/>
                <w:color w:val="222222"/>
                <w:sz w:val="16"/>
              </w:rPr>
              <w:t>PaymentMethod</w:t>
            </w:r>
          </w:p>
        </w:tc>
        <w:tc>
          <w:tcPr>
            <w:tcW w:w="2045" w:type="dxa"/>
            <w:tcMar>
              <w:top w:w="80" w:type="dxa"/>
              <w:left w:w="80" w:type="dxa"/>
              <w:bottom w:w="80" w:type="dxa"/>
              <w:right w:w="80" w:type="dxa"/>
            </w:tcMar>
            <w:vAlign w:val="center"/>
          </w:tcPr>
          <w:p w14:paraId="4A84544D">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76B78778">
            <w:pPr>
              <w:spacing w:after="0" w:line="240" w:lineRule="auto"/>
            </w:pPr>
            <w:r>
              <w:rPr>
                <w:rFonts w:ascii="Aptos" w:hAnsi="Aptos"/>
                <w:b w:val="0"/>
                <w:color w:val="222222"/>
                <w:sz w:val="16"/>
              </w:rPr>
              <w:t>Electronic check; Mailed check; Bank transfer (automatic); Credit card (automatic)</w:t>
            </w:r>
          </w:p>
        </w:tc>
        <w:tc>
          <w:tcPr>
            <w:tcW w:w="2045" w:type="dxa"/>
            <w:tcMar>
              <w:top w:w="80" w:type="dxa"/>
              <w:left w:w="80" w:type="dxa"/>
              <w:bottom w:w="80" w:type="dxa"/>
              <w:right w:w="80" w:type="dxa"/>
            </w:tcMar>
            <w:vAlign w:val="center"/>
          </w:tcPr>
          <w:p w14:paraId="3E7895F0">
            <w:pPr>
              <w:spacing w:after="0" w:line="240" w:lineRule="auto"/>
            </w:pPr>
            <w:r>
              <w:rPr>
                <w:rFonts w:ascii="Aptos" w:hAnsi="Aptos"/>
                <w:b w:val="0"/>
                <w:color w:val="222222"/>
                <w:sz w:val="16"/>
              </w:rPr>
              <w:t>Customer payment method.</w:t>
            </w:r>
          </w:p>
        </w:tc>
      </w:tr>
      <w:tr w14:paraId="6BF3C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6249D8EF">
            <w:pPr>
              <w:spacing w:after="0" w:line="240" w:lineRule="auto"/>
            </w:pPr>
            <w:r>
              <w:rPr>
                <w:rFonts w:ascii="Aptos" w:hAnsi="Aptos"/>
                <w:b w:val="0"/>
                <w:color w:val="222222"/>
                <w:sz w:val="16"/>
              </w:rPr>
              <w:t>Account &amp; Financial</w:t>
            </w:r>
          </w:p>
        </w:tc>
        <w:tc>
          <w:tcPr>
            <w:tcW w:w="2045" w:type="dxa"/>
            <w:tcMar>
              <w:top w:w="80" w:type="dxa"/>
              <w:left w:w="80" w:type="dxa"/>
              <w:bottom w:w="80" w:type="dxa"/>
              <w:right w:w="80" w:type="dxa"/>
            </w:tcMar>
            <w:vAlign w:val="center"/>
          </w:tcPr>
          <w:p w14:paraId="7CBBAD9E">
            <w:pPr>
              <w:spacing w:after="0" w:line="240" w:lineRule="auto"/>
            </w:pPr>
            <w:r>
              <w:rPr>
                <w:rFonts w:ascii="Aptos" w:hAnsi="Aptos"/>
                <w:b w:val="0"/>
                <w:color w:val="222222"/>
                <w:sz w:val="16"/>
              </w:rPr>
              <w:t>MonthlyCharges</w:t>
            </w:r>
          </w:p>
        </w:tc>
        <w:tc>
          <w:tcPr>
            <w:tcW w:w="2045" w:type="dxa"/>
            <w:tcMar>
              <w:top w:w="80" w:type="dxa"/>
              <w:left w:w="80" w:type="dxa"/>
              <w:bottom w:w="80" w:type="dxa"/>
              <w:right w:w="80" w:type="dxa"/>
            </w:tcMar>
            <w:vAlign w:val="center"/>
          </w:tcPr>
          <w:p w14:paraId="74005937">
            <w:pPr>
              <w:spacing w:after="0" w:line="240" w:lineRule="auto"/>
            </w:pPr>
            <w:r>
              <w:rPr>
                <w:rFonts w:ascii="Aptos" w:hAnsi="Aptos"/>
                <w:b w:val="0"/>
                <w:color w:val="222222"/>
                <w:sz w:val="16"/>
              </w:rPr>
              <w:t>Continuous numeric</w:t>
            </w:r>
          </w:p>
        </w:tc>
        <w:tc>
          <w:tcPr>
            <w:tcW w:w="2045" w:type="dxa"/>
            <w:tcMar>
              <w:top w:w="80" w:type="dxa"/>
              <w:left w:w="80" w:type="dxa"/>
              <w:bottom w:w="80" w:type="dxa"/>
              <w:right w:w="80" w:type="dxa"/>
            </w:tcMar>
            <w:vAlign w:val="center"/>
          </w:tcPr>
          <w:p w14:paraId="5110FFB9">
            <w:pPr>
              <w:spacing w:after="0" w:line="240" w:lineRule="auto"/>
            </w:pPr>
            <w:r>
              <w:rPr>
                <w:rFonts w:ascii="Aptos" w:hAnsi="Aptos"/>
                <w:b w:val="0"/>
                <w:color w:val="222222"/>
                <w:sz w:val="16"/>
              </w:rPr>
              <w:t>Observed numeric values</w:t>
            </w:r>
          </w:p>
        </w:tc>
        <w:tc>
          <w:tcPr>
            <w:tcW w:w="2045" w:type="dxa"/>
            <w:tcMar>
              <w:top w:w="80" w:type="dxa"/>
              <w:left w:w="80" w:type="dxa"/>
              <w:bottom w:w="80" w:type="dxa"/>
              <w:right w:w="80" w:type="dxa"/>
            </w:tcMar>
            <w:vAlign w:val="center"/>
          </w:tcPr>
          <w:p w14:paraId="3F2686FE">
            <w:pPr>
              <w:spacing w:after="0" w:line="240" w:lineRule="auto"/>
            </w:pPr>
            <w:r>
              <w:rPr>
                <w:rFonts w:ascii="Aptos" w:hAnsi="Aptos"/>
                <w:b w:val="0"/>
                <w:color w:val="222222"/>
                <w:sz w:val="16"/>
              </w:rPr>
              <w:t>Monthly amount charged to the customer.</w:t>
            </w:r>
          </w:p>
        </w:tc>
      </w:tr>
      <w:tr w14:paraId="5BAE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472FCA16">
            <w:pPr>
              <w:spacing w:after="0" w:line="240" w:lineRule="auto"/>
            </w:pPr>
            <w:r>
              <w:rPr>
                <w:rFonts w:ascii="Aptos" w:hAnsi="Aptos"/>
                <w:b w:val="0"/>
                <w:color w:val="222222"/>
                <w:sz w:val="16"/>
              </w:rPr>
              <w:t>Account &amp; Financial</w:t>
            </w:r>
          </w:p>
        </w:tc>
        <w:tc>
          <w:tcPr>
            <w:tcW w:w="2045" w:type="dxa"/>
            <w:tcMar>
              <w:top w:w="80" w:type="dxa"/>
              <w:left w:w="80" w:type="dxa"/>
              <w:bottom w:w="80" w:type="dxa"/>
              <w:right w:w="80" w:type="dxa"/>
            </w:tcMar>
            <w:vAlign w:val="center"/>
          </w:tcPr>
          <w:p w14:paraId="6AB28FE8">
            <w:pPr>
              <w:spacing w:after="0" w:line="240" w:lineRule="auto"/>
            </w:pPr>
            <w:r>
              <w:rPr>
                <w:rFonts w:ascii="Aptos" w:hAnsi="Aptos"/>
                <w:b w:val="0"/>
                <w:color w:val="222222"/>
                <w:sz w:val="16"/>
              </w:rPr>
              <w:t>TotalCharges</w:t>
            </w:r>
          </w:p>
        </w:tc>
        <w:tc>
          <w:tcPr>
            <w:tcW w:w="2045" w:type="dxa"/>
            <w:tcMar>
              <w:top w:w="80" w:type="dxa"/>
              <w:left w:w="80" w:type="dxa"/>
              <w:bottom w:w="80" w:type="dxa"/>
              <w:right w:w="80" w:type="dxa"/>
            </w:tcMar>
            <w:vAlign w:val="center"/>
          </w:tcPr>
          <w:p w14:paraId="62B70BEA">
            <w:pPr>
              <w:spacing w:after="0" w:line="240" w:lineRule="auto"/>
            </w:pPr>
            <w:r>
              <w:rPr>
                <w:rFonts w:ascii="Aptos" w:hAnsi="Aptos"/>
                <w:b w:val="0"/>
                <w:color w:val="222222"/>
                <w:sz w:val="16"/>
              </w:rPr>
              <w:t>Financial numeric stored as text</w:t>
            </w:r>
          </w:p>
        </w:tc>
        <w:tc>
          <w:tcPr>
            <w:tcW w:w="2045" w:type="dxa"/>
            <w:tcMar>
              <w:top w:w="80" w:type="dxa"/>
              <w:left w:w="80" w:type="dxa"/>
              <w:bottom w:w="80" w:type="dxa"/>
              <w:right w:w="80" w:type="dxa"/>
            </w:tcMar>
            <w:vAlign w:val="center"/>
          </w:tcPr>
          <w:p w14:paraId="1F6FB012">
            <w:pPr>
              <w:spacing w:after="0" w:line="240" w:lineRule="auto"/>
            </w:pPr>
            <w:r>
              <w:rPr>
                <w:rFonts w:ascii="Aptos" w:hAnsi="Aptos"/>
                <w:b w:val="0"/>
                <w:color w:val="222222"/>
                <w:sz w:val="16"/>
              </w:rPr>
              <w:t>Cumulative charge values plus 11 whitespace-only entries</w:t>
            </w:r>
          </w:p>
        </w:tc>
        <w:tc>
          <w:tcPr>
            <w:tcW w:w="2045" w:type="dxa"/>
            <w:tcMar>
              <w:top w:w="80" w:type="dxa"/>
              <w:left w:w="80" w:type="dxa"/>
              <w:bottom w:w="80" w:type="dxa"/>
              <w:right w:w="80" w:type="dxa"/>
            </w:tcMar>
            <w:vAlign w:val="center"/>
          </w:tcPr>
          <w:p w14:paraId="7BFAAD14">
            <w:pPr>
              <w:spacing w:after="0" w:line="240" w:lineRule="auto"/>
            </w:pPr>
            <w:r>
              <w:rPr>
                <w:rFonts w:ascii="Aptos" w:hAnsi="Aptos"/>
                <w:b w:val="0"/>
                <w:color w:val="222222"/>
                <w:sz w:val="16"/>
              </w:rPr>
              <w:t>Cumulative financial expenditure; requires cleaning and numeric conversion.</w:t>
            </w:r>
          </w:p>
        </w:tc>
      </w:tr>
      <w:tr w14:paraId="3B9C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587F4540">
            <w:pPr>
              <w:spacing w:after="0" w:line="240" w:lineRule="auto"/>
            </w:pPr>
            <w:r>
              <w:rPr>
                <w:rFonts w:ascii="Aptos" w:hAnsi="Aptos"/>
                <w:b w:val="0"/>
                <w:color w:val="222222"/>
                <w:sz w:val="16"/>
              </w:rPr>
              <w:t>Core &amp; Ancillary Services</w:t>
            </w:r>
          </w:p>
        </w:tc>
        <w:tc>
          <w:tcPr>
            <w:tcW w:w="2045" w:type="dxa"/>
            <w:tcMar>
              <w:top w:w="80" w:type="dxa"/>
              <w:left w:w="80" w:type="dxa"/>
              <w:bottom w:w="80" w:type="dxa"/>
              <w:right w:w="80" w:type="dxa"/>
            </w:tcMar>
            <w:vAlign w:val="center"/>
          </w:tcPr>
          <w:p w14:paraId="24DC8123">
            <w:pPr>
              <w:spacing w:after="0" w:line="240" w:lineRule="auto"/>
            </w:pPr>
            <w:r>
              <w:rPr>
                <w:rFonts w:ascii="Aptos" w:hAnsi="Aptos"/>
                <w:b w:val="0"/>
                <w:color w:val="222222"/>
                <w:sz w:val="16"/>
              </w:rPr>
              <w:t>PhoneService</w:t>
            </w:r>
          </w:p>
        </w:tc>
        <w:tc>
          <w:tcPr>
            <w:tcW w:w="2045" w:type="dxa"/>
            <w:tcMar>
              <w:top w:w="80" w:type="dxa"/>
              <w:left w:w="80" w:type="dxa"/>
              <w:bottom w:w="80" w:type="dxa"/>
              <w:right w:w="80" w:type="dxa"/>
            </w:tcMar>
            <w:vAlign w:val="center"/>
          </w:tcPr>
          <w:p w14:paraId="5DA7221A">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01475E88">
            <w:pPr>
              <w:spacing w:after="0" w:line="240" w:lineRule="auto"/>
            </w:pPr>
            <w:r>
              <w:rPr>
                <w:rFonts w:ascii="Aptos" w:hAnsi="Aptos"/>
                <w:b w:val="0"/>
                <w:color w:val="222222"/>
                <w:sz w:val="16"/>
              </w:rPr>
              <w:t>Yes / No</w:t>
            </w:r>
          </w:p>
        </w:tc>
        <w:tc>
          <w:tcPr>
            <w:tcW w:w="2045" w:type="dxa"/>
            <w:tcMar>
              <w:top w:w="80" w:type="dxa"/>
              <w:left w:w="80" w:type="dxa"/>
              <w:bottom w:w="80" w:type="dxa"/>
              <w:right w:w="80" w:type="dxa"/>
            </w:tcMar>
            <w:vAlign w:val="center"/>
          </w:tcPr>
          <w:p w14:paraId="64C5C1C4">
            <w:pPr>
              <w:spacing w:after="0" w:line="240" w:lineRule="auto"/>
            </w:pPr>
            <w:r>
              <w:rPr>
                <w:rFonts w:ascii="Aptos" w:hAnsi="Aptos"/>
                <w:b w:val="0"/>
                <w:color w:val="222222"/>
                <w:sz w:val="16"/>
              </w:rPr>
              <w:t>Whether phone service is subscribed.</w:t>
            </w:r>
          </w:p>
        </w:tc>
      </w:tr>
      <w:tr w14:paraId="79CE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0FCA3470">
            <w:pPr>
              <w:spacing w:after="0" w:line="240" w:lineRule="auto"/>
            </w:pPr>
            <w:r>
              <w:rPr>
                <w:rFonts w:ascii="Aptos" w:hAnsi="Aptos"/>
                <w:b w:val="0"/>
                <w:color w:val="222222"/>
                <w:sz w:val="16"/>
              </w:rPr>
              <w:t>Core &amp; Ancillary Services</w:t>
            </w:r>
          </w:p>
        </w:tc>
        <w:tc>
          <w:tcPr>
            <w:tcW w:w="2045" w:type="dxa"/>
            <w:tcMar>
              <w:top w:w="80" w:type="dxa"/>
              <w:left w:w="80" w:type="dxa"/>
              <w:bottom w:w="80" w:type="dxa"/>
              <w:right w:w="80" w:type="dxa"/>
            </w:tcMar>
            <w:vAlign w:val="center"/>
          </w:tcPr>
          <w:p w14:paraId="4DAAE063">
            <w:pPr>
              <w:spacing w:after="0" w:line="240" w:lineRule="auto"/>
            </w:pPr>
            <w:r>
              <w:rPr>
                <w:rFonts w:ascii="Aptos" w:hAnsi="Aptos"/>
                <w:b w:val="0"/>
                <w:color w:val="222222"/>
                <w:sz w:val="16"/>
              </w:rPr>
              <w:t>MultipleLines</w:t>
            </w:r>
          </w:p>
        </w:tc>
        <w:tc>
          <w:tcPr>
            <w:tcW w:w="2045" w:type="dxa"/>
            <w:tcMar>
              <w:top w:w="80" w:type="dxa"/>
              <w:left w:w="80" w:type="dxa"/>
              <w:bottom w:w="80" w:type="dxa"/>
              <w:right w:w="80" w:type="dxa"/>
            </w:tcMar>
            <w:vAlign w:val="center"/>
          </w:tcPr>
          <w:p w14:paraId="7E06E71D">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4B4C83B8">
            <w:pPr>
              <w:spacing w:after="0" w:line="240" w:lineRule="auto"/>
            </w:pPr>
            <w:r>
              <w:rPr>
                <w:rFonts w:ascii="Aptos" w:hAnsi="Aptos"/>
                <w:b w:val="0"/>
                <w:color w:val="222222"/>
                <w:sz w:val="16"/>
              </w:rPr>
              <w:t>Yes / No / No phone service</w:t>
            </w:r>
          </w:p>
        </w:tc>
        <w:tc>
          <w:tcPr>
            <w:tcW w:w="2045" w:type="dxa"/>
            <w:tcMar>
              <w:top w:w="80" w:type="dxa"/>
              <w:left w:w="80" w:type="dxa"/>
              <w:bottom w:w="80" w:type="dxa"/>
              <w:right w:w="80" w:type="dxa"/>
            </w:tcMar>
            <w:vAlign w:val="center"/>
          </w:tcPr>
          <w:p w14:paraId="492A13A8">
            <w:pPr>
              <w:spacing w:after="0" w:line="240" w:lineRule="auto"/>
            </w:pPr>
            <w:r>
              <w:rPr>
                <w:rFonts w:ascii="Aptos" w:hAnsi="Aptos"/>
                <w:b w:val="0"/>
                <w:color w:val="222222"/>
                <w:sz w:val="16"/>
              </w:rPr>
              <w:t>Whether multiple phone lines are subscribed; “No phone service” is a structural category.</w:t>
            </w:r>
          </w:p>
        </w:tc>
      </w:tr>
      <w:tr w14:paraId="6538A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240BA6B1">
            <w:pPr>
              <w:spacing w:after="0" w:line="240" w:lineRule="auto"/>
            </w:pPr>
            <w:r>
              <w:rPr>
                <w:rFonts w:ascii="Aptos" w:hAnsi="Aptos"/>
                <w:b w:val="0"/>
                <w:color w:val="222222"/>
                <w:sz w:val="16"/>
              </w:rPr>
              <w:t>Core &amp; Ancillary Services</w:t>
            </w:r>
          </w:p>
        </w:tc>
        <w:tc>
          <w:tcPr>
            <w:tcW w:w="2045" w:type="dxa"/>
            <w:tcMar>
              <w:top w:w="80" w:type="dxa"/>
              <w:left w:w="80" w:type="dxa"/>
              <w:bottom w:w="80" w:type="dxa"/>
              <w:right w:w="80" w:type="dxa"/>
            </w:tcMar>
            <w:vAlign w:val="center"/>
          </w:tcPr>
          <w:p w14:paraId="02AC59C3">
            <w:pPr>
              <w:spacing w:after="0" w:line="240" w:lineRule="auto"/>
            </w:pPr>
            <w:r>
              <w:rPr>
                <w:rFonts w:ascii="Aptos" w:hAnsi="Aptos"/>
                <w:b w:val="0"/>
                <w:color w:val="222222"/>
                <w:sz w:val="16"/>
              </w:rPr>
              <w:t>InternetService</w:t>
            </w:r>
          </w:p>
        </w:tc>
        <w:tc>
          <w:tcPr>
            <w:tcW w:w="2045" w:type="dxa"/>
            <w:tcMar>
              <w:top w:w="80" w:type="dxa"/>
              <w:left w:w="80" w:type="dxa"/>
              <w:bottom w:w="80" w:type="dxa"/>
              <w:right w:w="80" w:type="dxa"/>
            </w:tcMar>
            <w:vAlign w:val="center"/>
          </w:tcPr>
          <w:p w14:paraId="071B6799">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062FFDF4">
            <w:pPr>
              <w:spacing w:after="0" w:line="240" w:lineRule="auto"/>
            </w:pPr>
            <w:r>
              <w:rPr>
                <w:rFonts w:ascii="Aptos" w:hAnsi="Aptos"/>
                <w:b w:val="0"/>
                <w:color w:val="222222"/>
                <w:sz w:val="16"/>
              </w:rPr>
              <w:t>DSL; Fiber optic; No</w:t>
            </w:r>
          </w:p>
        </w:tc>
        <w:tc>
          <w:tcPr>
            <w:tcW w:w="2045" w:type="dxa"/>
            <w:tcMar>
              <w:top w:w="80" w:type="dxa"/>
              <w:left w:w="80" w:type="dxa"/>
              <w:bottom w:w="80" w:type="dxa"/>
              <w:right w:w="80" w:type="dxa"/>
            </w:tcMar>
            <w:vAlign w:val="center"/>
          </w:tcPr>
          <w:p w14:paraId="298BBBCC">
            <w:pPr>
              <w:spacing w:after="0" w:line="240" w:lineRule="auto"/>
            </w:pPr>
            <w:r>
              <w:rPr>
                <w:rFonts w:ascii="Aptos" w:hAnsi="Aptos"/>
                <w:b w:val="0"/>
                <w:color w:val="222222"/>
                <w:sz w:val="16"/>
              </w:rPr>
              <w:t>Primary internet service type.</w:t>
            </w:r>
          </w:p>
        </w:tc>
      </w:tr>
      <w:tr w14:paraId="4CB8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4B4B7E5A">
            <w:pPr>
              <w:spacing w:after="0" w:line="240" w:lineRule="auto"/>
            </w:pPr>
            <w:r>
              <w:rPr>
                <w:rFonts w:ascii="Aptos" w:hAnsi="Aptos"/>
                <w:b w:val="0"/>
                <w:color w:val="222222"/>
                <w:sz w:val="16"/>
              </w:rPr>
              <w:t>Core &amp; Ancillary Services</w:t>
            </w:r>
          </w:p>
        </w:tc>
        <w:tc>
          <w:tcPr>
            <w:tcW w:w="2045" w:type="dxa"/>
            <w:tcMar>
              <w:top w:w="80" w:type="dxa"/>
              <w:left w:w="80" w:type="dxa"/>
              <w:bottom w:w="80" w:type="dxa"/>
              <w:right w:w="80" w:type="dxa"/>
            </w:tcMar>
            <w:vAlign w:val="center"/>
          </w:tcPr>
          <w:p w14:paraId="7EEC23FF">
            <w:pPr>
              <w:spacing w:after="0" w:line="240" w:lineRule="auto"/>
            </w:pPr>
            <w:r>
              <w:rPr>
                <w:rFonts w:ascii="Aptos" w:hAnsi="Aptos"/>
                <w:b w:val="0"/>
                <w:color w:val="222222"/>
                <w:sz w:val="16"/>
              </w:rPr>
              <w:t>OnlineSecurity</w:t>
            </w:r>
          </w:p>
        </w:tc>
        <w:tc>
          <w:tcPr>
            <w:tcW w:w="2045" w:type="dxa"/>
            <w:tcMar>
              <w:top w:w="80" w:type="dxa"/>
              <w:left w:w="80" w:type="dxa"/>
              <w:bottom w:w="80" w:type="dxa"/>
              <w:right w:w="80" w:type="dxa"/>
            </w:tcMar>
            <w:vAlign w:val="center"/>
          </w:tcPr>
          <w:p w14:paraId="67D2C46F">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69F7A0DE">
            <w:pPr>
              <w:spacing w:after="0" w:line="240" w:lineRule="auto"/>
            </w:pPr>
            <w:r>
              <w:rPr>
                <w:rFonts w:ascii="Aptos" w:hAnsi="Aptos"/>
                <w:b w:val="0"/>
                <w:color w:val="222222"/>
                <w:sz w:val="16"/>
              </w:rPr>
              <w:t>Yes / No / No internet service</w:t>
            </w:r>
          </w:p>
        </w:tc>
        <w:tc>
          <w:tcPr>
            <w:tcW w:w="2045" w:type="dxa"/>
            <w:tcMar>
              <w:top w:w="80" w:type="dxa"/>
              <w:left w:w="80" w:type="dxa"/>
              <w:bottom w:w="80" w:type="dxa"/>
              <w:right w:w="80" w:type="dxa"/>
            </w:tcMar>
            <w:vAlign w:val="center"/>
          </w:tcPr>
          <w:p w14:paraId="13CD4946">
            <w:pPr>
              <w:spacing w:after="0" w:line="240" w:lineRule="auto"/>
            </w:pPr>
            <w:r>
              <w:rPr>
                <w:rFonts w:ascii="Aptos" w:hAnsi="Aptos"/>
                <w:b w:val="0"/>
                <w:color w:val="222222"/>
                <w:sz w:val="16"/>
              </w:rPr>
              <w:t>Online security subscription status.</w:t>
            </w:r>
          </w:p>
        </w:tc>
      </w:tr>
      <w:tr w14:paraId="2B78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37079B93">
            <w:pPr>
              <w:spacing w:after="0" w:line="240" w:lineRule="auto"/>
            </w:pPr>
            <w:r>
              <w:rPr>
                <w:rFonts w:ascii="Aptos" w:hAnsi="Aptos"/>
                <w:b w:val="0"/>
                <w:color w:val="222222"/>
                <w:sz w:val="16"/>
              </w:rPr>
              <w:t>Core &amp; Ancillary Services</w:t>
            </w:r>
          </w:p>
        </w:tc>
        <w:tc>
          <w:tcPr>
            <w:tcW w:w="2045" w:type="dxa"/>
            <w:tcMar>
              <w:top w:w="80" w:type="dxa"/>
              <w:left w:w="80" w:type="dxa"/>
              <w:bottom w:w="80" w:type="dxa"/>
              <w:right w:w="80" w:type="dxa"/>
            </w:tcMar>
            <w:vAlign w:val="center"/>
          </w:tcPr>
          <w:p w14:paraId="50EB8841">
            <w:pPr>
              <w:spacing w:after="0" w:line="240" w:lineRule="auto"/>
            </w:pPr>
            <w:r>
              <w:rPr>
                <w:rFonts w:ascii="Aptos" w:hAnsi="Aptos"/>
                <w:b w:val="0"/>
                <w:color w:val="222222"/>
                <w:sz w:val="16"/>
              </w:rPr>
              <w:t>OnlineBackup</w:t>
            </w:r>
          </w:p>
        </w:tc>
        <w:tc>
          <w:tcPr>
            <w:tcW w:w="2045" w:type="dxa"/>
            <w:tcMar>
              <w:top w:w="80" w:type="dxa"/>
              <w:left w:w="80" w:type="dxa"/>
              <w:bottom w:w="80" w:type="dxa"/>
              <w:right w:w="80" w:type="dxa"/>
            </w:tcMar>
            <w:vAlign w:val="center"/>
          </w:tcPr>
          <w:p w14:paraId="567C7ADD">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1E614857">
            <w:pPr>
              <w:spacing w:after="0" w:line="240" w:lineRule="auto"/>
            </w:pPr>
            <w:r>
              <w:rPr>
                <w:rFonts w:ascii="Aptos" w:hAnsi="Aptos"/>
                <w:b w:val="0"/>
                <w:color w:val="222222"/>
                <w:sz w:val="16"/>
              </w:rPr>
              <w:t>Yes / No / No internet service</w:t>
            </w:r>
          </w:p>
        </w:tc>
        <w:tc>
          <w:tcPr>
            <w:tcW w:w="2045" w:type="dxa"/>
            <w:tcMar>
              <w:top w:w="80" w:type="dxa"/>
              <w:left w:w="80" w:type="dxa"/>
              <w:bottom w:w="80" w:type="dxa"/>
              <w:right w:w="80" w:type="dxa"/>
            </w:tcMar>
            <w:vAlign w:val="center"/>
          </w:tcPr>
          <w:p w14:paraId="51823654">
            <w:pPr>
              <w:spacing w:after="0" w:line="240" w:lineRule="auto"/>
            </w:pPr>
            <w:r>
              <w:rPr>
                <w:rFonts w:ascii="Aptos" w:hAnsi="Aptos"/>
                <w:b w:val="0"/>
                <w:color w:val="222222"/>
                <w:sz w:val="16"/>
              </w:rPr>
              <w:t>Online backup subscription status.</w:t>
            </w:r>
          </w:p>
        </w:tc>
      </w:tr>
      <w:tr w14:paraId="1117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0DE13DCF">
            <w:pPr>
              <w:spacing w:after="0" w:line="240" w:lineRule="auto"/>
            </w:pPr>
            <w:r>
              <w:rPr>
                <w:rFonts w:ascii="Aptos" w:hAnsi="Aptos"/>
                <w:b w:val="0"/>
                <w:color w:val="222222"/>
                <w:sz w:val="16"/>
              </w:rPr>
              <w:t>Core &amp; Ancillary Services</w:t>
            </w:r>
          </w:p>
        </w:tc>
        <w:tc>
          <w:tcPr>
            <w:tcW w:w="2045" w:type="dxa"/>
            <w:tcMar>
              <w:top w:w="80" w:type="dxa"/>
              <w:left w:w="80" w:type="dxa"/>
              <w:bottom w:w="80" w:type="dxa"/>
              <w:right w:w="80" w:type="dxa"/>
            </w:tcMar>
            <w:vAlign w:val="center"/>
          </w:tcPr>
          <w:p w14:paraId="2C27C4A2">
            <w:pPr>
              <w:spacing w:after="0" w:line="240" w:lineRule="auto"/>
            </w:pPr>
            <w:r>
              <w:rPr>
                <w:rFonts w:ascii="Aptos" w:hAnsi="Aptos"/>
                <w:b w:val="0"/>
                <w:color w:val="222222"/>
                <w:sz w:val="16"/>
              </w:rPr>
              <w:t>DeviceProtection</w:t>
            </w:r>
          </w:p>
        </w:tc>
        <w:tc>
          <w:tcPr>
            <w:tcW w:w="2045" w:type="dxa"/>
            <w:tcMar>
              <w:top w:w="80" w:type="dxa"/>
              <w:left w:w="80" w:type="dxa"/>
              <w:bottom w:w="80" w:type="dxa"/>
              <w:right w:w="80" w:type="dxa"/>
            </w:tcMar>
            <w:vAlign w:val="center"/>
          </w:tcPr>
          <w:p w14:paraId="1C34D652">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3E9D1621">
            <w:pPr>
              <w:spacing w:after="0" w:line="240" w:lineRule="auto"/>
            </w:pPr>
            <w:r>
              <w:rPr>
                <w:rFonts w:ascii="Aptos" w:hAnsi="Aptos"/>
                <w:b w:val="0"/>
                <w:color w:val="222222"/>
                <w:sz w:val="16"/>
              </w:rPr>
              <w:t>Yes / No / No internet service</w:t>
            </w:r>
          </w:p>
        </w:tc>
        <w:tc>
          <w:tcPr>
            <w:tcW w:w="2045" w:type="dxa"/>
            <w:tcMar>
              <w:top w:w="80" w:type="dxa"/>
              <w:left w:w="80" w:type="dxa"/>
              <w:bottom w:w="80" w:type="dxa"/>
              <w:right w:w="80" w:type="dxa"/>
            </w:tcMar>
            <w:vAlign w:val="center"/>
          </w:tcPr>
          <w:p w14:paraId="7666671A">
            <w:pPr>
              <w:spacing w:after="0" w:line="240" w:lineRule="auto"/>
            </w:pPr>
            <w:r>
              <w:rPr>
                <w:rFonts w:ascii="Aptos" w:hAnsi="Aptos"/>
                <w:b w:val="0"/>
                <w:color w:val="222222"/>
                <w:sz w:val="16"/>
              </w:rPr>
              <w:t>Device protection subscription status.</w:t>
            </w:r>
          </w:p>
        </w:tc>
      </w:tr>
      <w:tr w14:paraId="6BAC5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253C3BDC">
            <w:pPr>
              <w:spacing w:after="0" w:line="240" w:lineRule="auto"/>
            </w:pPr>
            <w:r>
              <w:rPr>
                <w:rFonts w:ascii="Aptos" w:hAnsi="Aptos"/>
                <w:b w:val="0"/>
                <w:color w:val="222222"/>
                <w:sz w:val="16"/>
              </w:rPr>
              <w:t>Core &amp; Ancillary Services</w:t>
            </w:r>
          </w:p>
        </w:tc>
        <w:tc>
          <w:tcPr>
            <w:tcW w:w="2045" w:type="dxa"/>
            <w:tcMar>
              <w:top w:w="80" w:type="dxa"/>
              <w:left w:w="80" w:type="dxa"/>
              <w:bottom w:w="80" w:type="dxa"/>
              <w:right w:w="80" w:type="dxa"/>
            </w:tcMar>
            <w:vAlign w:val="center"/>
          </w:tcPr>
          <w:p w14:paraId="69930DD6">
            <w:pPr>
              <w:spacing w:after="0" w:line="240" w:lineRule="auto"/>
            </w:pPr>
            <w:r>
              <w:rPr>
                <w:rFonts w:ascii="Aptos" w:hAnsi="Aptos"/>
                <w:b w:val="0"/>
                <w:color w:val="222222"/>
                <w:sz w:val="16"/>
              </w:rPr>
              <w:t>TechSupport</w:t>
            </w:r>
          </w:p>
        </w:tc>
        <w:tc>
          <w:tcPr>
            <w:tcW w:w="2045" w:type="dxa"/>
            <w:tcMar>
              <w:top w:w="80" w:type="dxa"/>
              <w:left w:w="80" w:type="dxa"/>
              <w:bottom w:w="80" w:type="dxa"/>
              <w:right w:w="80" w:type="dxa"/>
            </w:tcMar>
            <w:vAlign w:val="center"/>
          </w:tcPr>
          <w:p w14:paraId="493F99E3">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0FC2A326">
            <w:pPr>
              <w:spacing w:after="0" w:line="240" w:lineRule="auto"/>
            </w:pPr>
            <w:r>
              <w:rPr>
                <w:rFonts w:ascii="Aptos" w:hAnsi="Aptos"/>
                <w:b w:val="0"/>
                <w:color w:val="222222"/>
                <w:sz w:val="16"/>
              </w:rPr>
              <w:t>Yes / No / No internet service</w:t>
            </w:r>
          </w:p>
        </w:tc>
        <w:tc>
          <w:tcPr>
            <w:tcW w:w="2045" w:type="dxa"/>
            <w:tcMar>
              <w:top w:w="80" w:type="dxa"/>
              <w:left w:w="80" w:type="dxa"/>
              <w:bottom w:w="80" w:type="dxa"/>
              <w:right w:w="80" w:type="dxa"/>
            </w:tcMar>
            <w:vAlign w:val="center"/>
          </w:tcPr>
          <w:p w14:paraId="3455B210">
            <w:pPr>
              <w:spacing w:after="0" w:line="240" w:lineRule="auto"/>
            </w:pPr>
            <w:r>
              <w:rPr>
                <w:rFonts w:ascii="Aptos" w:hAnsi="Aptos"/>
                <w:b w:val="0"/>
                <w:color w:val="222222"/>
                <w:sz w:val="16"/>
              </w:rPr>
              <w:t>Technical support subscription status.</w:t>
            </w:r>
          </w:p>
        </w:tc>
      </w:tr>
      <w:tr w14:paraId="4905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78A4C6E9">
            <w:pPr>
              <w:spacing w:after="0" w:line="240" w:lineRule="auto"/>
            </w:pPr>
            <w:r>
              <w:rPr>
                <w:rFonts w:ascii="Aptos" w:hAnsi="Aptos"/>
                <w:b w:val="0"/>
                <w:color w:val="222222"/>
                <w:sz w:val="16"/>
              </w:rPr>
              <w:t>Core &amp; Ancillary Services</w:t>
            </w:r>
          </w:p>
        </w:tc>
        <w:tc>
          <w:tcPr>
            <w:tcW w:w="2045" w:type="dxa"/>
            <w:tcMar>
              <w:top w:w="80" w:type="dxa"/>
              <w:left w:w="80" w:type="dxa"/>
              <w:bottom w:w="80" w:type="dxa"/>
              <w:right w:w="80" w:type="dxa"/>
            </w:tcMar>
            <w:vAlign w:val="center"/>
          </w:tcPr>
          <w:p w14:paraId="502C1C82">
            <w:pPr>
              <w:spacing w:after="0" w:line="240" w:lineRule="auto"/>
            </w:pPr>
            <w:r>
              <w:rPr>
                <w:rFonts w:ascii="Aptos" w:hAnsi="Aptos"/>
                <w:b w:val="0"/>
                <w:color w:val="222222"/>
                <w:sz w:val="16"/>
              </w:rPr>
              <w:t>StreamingTV</w:t>
            </w:r>
          </w:p>
        </w:tc>
        <w:tc>
          <w:tcPr>
            <w:tcW w:w="2045" w:type="dxa"/>
            <w:tcMar>
              <w:top w:w="80" w:type="dxa"/>
              <w:left w:w="80" w:type="dxa"/>
              <w:bottom w:w="80" w:type="dxa"/>
              <w:right w:w="80" w:type="dxa"/>
            </w:tcMar>
            <w:vAlign w:val="center"/>
          </w:tcPr>
          <w:p w14:paraId="1AA80916">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3277F4CA">
            <w:pPr>
              <w:spacing w:after="0" w:line="240" w:lineRule="auto"/>
            </w:pPr>
            <w:r>
              <w:rPr>
                <w:rFonts w:ascii="Aptos" w:hAnsi="Aptos"/>
                <w:b w:val="0"/>
                <w:color w:val="222222"/>
                <w:sz w:val="16"/>
              </w:rPr>
              <w:t>Yes / No / No internet service</w:t>
            </w:r>
          </w:p>
        </w:tc>
        <w:tc>
          <w:tcPr>
            <w:tcW w:w="2045" w:type="dxa"/>
            <w:tcMar>
              <w:top w:w="80" w:type="dxa"/>
              <w:left w:w="80" w:type="dxa"/>
              <w:bottom w:w="80" w:type="dxa"/>
              <w:right w:w="80" w:type="dxa"/>
            </w:tcMar>
            <w:vAlign w:val="center"/>
          </w:tcPr>
          <w:p w14:paraId="0F26CFAE">
            <w:pPr>
              <w:spacing w:after="0" w:line="240" w:lineRule="auto"/>
            </w:pPr>
            <w:r>
              <w:rPr>
                <w:rFonts w:ascii="Aptos" w:hAnsi="Aptos"/>
                <w:b w:val="0"/>
                <w:color w:val="222222"/>
                <w:sz w:val="16"/>
              </w:rPr>
              <w:t>Streaming TV subscription status.</w:t>
            </w:r>
          </w:p>
        </w:tc>
      </w:tr>
      <w:tr w14:paraId="5D3D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368A8D56">
            <w:pPr>
              <w:spacing w:after="0" w:line="240" w:lineRule="auto"/>
            </w:pPr>
            <w:r>
              <w:rPr>
                <w:rFonts w:ascii="Aptos" w:hAnsi="Aptos"/>
                <w:b w:val="0"/>
                <w:color w:val="222222"/>
                <w:sz w:val="16"/>
              </w:rPr>
              <w:t>Core &amp; Ancillary Services</w:t>
            </w:r>
          </w:p>
        </w:tc>
        <w:tc>
          <w:tcPr>
            <w:tcW w:w="2045" w:type="dxa"/>
            <w:tcMar>
              <w:top w:w="80" w:type="dxa"/>
              <w:left w:w="80" w:type="dxa"/>
              <w:bottom w:w="80" w:type="dxa"/>
              <w:right w:w="80" w:type="dxa"/>
            </w:tcMar>
            <w:vAlign w:val="center"/>
          </w:tcPr>
          <w:p w14:paraId="0A2D86C9">
            <w:pPr>
              <w:spacing w:after="0" w:line="240" w:lineRule="auto"/>
            </w:pPr>
            <w:r>
              <w:rPr>
                <w:rFonts w:ascii="Aptos" w:hAnsi="Aptos"/>
                <w:b w:val="0"/>
                <w:color w:val="222222"/>
                <w:sz w:val="16"/>
              </w:rPr>
              <w:t>StreamingMovies</w:t>
            </w:r>
          </w:p>
        </w:tc>
        <w:tc>
          <w:tcPr>
            <w:tcW w:w="2045" w:type="dxa"/>
            <w:tcMar>
              <w:top w:w="80" w:type="dxa"/>
              <w:left w:w="80" w:type="dxa"/>
              <w:bottom w:w="80" w:type="dxa"/>
              <w:right w:w="80" w:type="dxa"/>
            </w:tcMar>
            <w:vAlign w:val="center"/>
          </w:tcPr>
          <w:p w14:paraId="68B95583">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4C7C07F7">
            <w:pPr>
              <w:spacing w:after="0" w:line="240" w:lineRule="auto"/>
            </w:pPr>
            <w:r>
              <w:rPr>
                <w:rFonts w:ascii="Aptos" w:hAnsi="Aptos"/>
                <w:b w:val="0"/>
                <w:color w:val="222222"/>
                <w:sz w:val="16"/>
              </w:rPr>
              <w:t>Yes / No / No internet service</w:t>
            </w:r>
          </w:p>
        </w:tc>
        <w:tc>
          <w:tcPr>
            <w:tcW w:w="2045" w:type="dxa"/>
            <w:tcMar>
              <w:top w:w="80" w:type="dxa"/>
              <w:left w:w="80" w:type="dxa"/>
              <w:bottom w:w="80" w:type="dxa"/>
              <w:right w:w="80" w:type="dxa"/>
            </w:tcMar>
            <w:vAlign w:val="center"/>
          </w:tcPr>
          <w:p w14:paraId="563BDC1D">
            <w:pPr>
              <w:spacing w:after="0" w:line="240" w:lineRule="auto"/>
            </w:pPr>
            <w:r>
              <w:rPr>
                <w:rFonts w:ascii="Aptos" w:hAnsi="Aptos"/>
                <w:b w:val="0"/>
                <w:color w:val="222222"/>
                <w:sz w:val="16"/>
              </w:rPr>
              <w:t>Streaming movie subscription status.</w:t>
            </w:r>
          </w:p>
        </w:tc>
      </w:tr>
      <w:tr w14:paraId="71B7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02E86B72">
            <w:pPr>
              <w:spacing w:after="0" w:line="240" w:lineRule="auto"/>
            </w:pPr>
            <w:r>
              <w:rPr>
                <w:rFonts w:ascii="Aptos" w:hAnsi="Aptos"/>
                <w:b w:val="0"/>
                <w:color w:val="222222"/>
                <w:sz w:val="16"/>
              </w:rPr>
              <w:t>Demographic</w:t>
            </w:r>
          </w:p>
        </w:tc>
        <w:tc>
          <w:tcPr>
            <w:tcW w:w="2045" w:type="dxa"/>
            <w:tcMar>
              <w:top w:w="80" w:type="dxa"/>
              <w:left w:w="80" w:type="dxa"/>
              <w:bottom w:w="80" w:type="dxa"/>
              <w:right w:w="80" w:type="dxa"/>
            </w:tcMar>
            <w:vAlign w:val="center"/>
          </w:tcPr>
          <w:p w14:paraId="60109352">
            <w:pPr>
              <w:spacing w:after="0" w:line="240" w:lineRule="auto"/>
            </w:pPr>
            <w:r>
              <w:rPr>
                <w:rFonts w:ascii="Aptos" w:hAnsi="Aptos"/>
                <w:b w:val="0"/>
                <w:color w:val="222222"/>
                <w:sz w:val="16"/>
              </w:rPr>
              <w:t>gender</w:t>
            </w:r>
          </w:p>
        </w:tc>
        <w:tc>
          <w:tcPr>
            <w:tcW w:w="2045" w:type="dxa"/>
            <w:tcMar>
              <w:top w:w="80" w:type="dxa"/>
              <w:left w:w="80" w:type="dxa"/>
              <w:bottom w:w="80" w:type="dxa"/>
              <w:right w:w="80" w:type="dxa"/>
            </w:tcMar>
            <w:vAlign w:val="center"/>
          </w:tcPr>
          <w:p w14:paraId="4FCFB0D5">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61C96DD7">
            <w:pPr>
              <w:spacing w:after="0" w:line="240" w:lineRule="auto"/>
            </w:pPr>
            <w:r>
              <w:rPr>
                <w:rFonts w:ascii="Aptos" w:hAnsi="Aptos"/>
                <w:b w:val="0"/>
                <w:color w:val="222222"/>
                <w:sz w:val="16"/>
              </w:rPr>
              <w:t>Male / Female</w:t>
            </w:r>
          </w:p>
        </w:tc>
        <w:tc>
          <w:tcPr>
            <w:tcW w:w="2045" w:type="dxa"/>
            <w:tcMar>
              <w:top w:w="80" w:type="dxa"/>
              <w:left w:w="80" w:type="dxa"/>
              <w:bottom w:w="80" w:type="dxa"/>
              <w:right w:w="80" w:type="dxa"/>
            </w:tcMar>
            <w:vAlign w:val="center"/>
          </w:tcPr>
          <w:p w14:paraId="471B0F90">
            <w:pPr>
              <w:spacing w:after="0" w:line="240" w:lineRule="auto"/>
            </w:pPr>
            <w:r>
              <w:rPr>
                <w:rFonts w:ascii="Aptos" w:hAnsi="Aptos"/>
                <w:b w:val="0"/>
                <w:color w:val="222222"/>
                <w:sz w:val="16"/>
              </w:rPr>
              <w:t>Customer gender as represented in the dataset.</w:t>
            </w:r>
          </w:p>
        </w:tc>
      </w:tr>
      <w:tr w14:paraId="5CE0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105E81A9">
            <w:pPr>
              <w:spacing w:after="0" w:line="240" w:lineRule="auto"/>
            </w:pPr>
            <w:r>
              <w:rPr>
                <w:rFonts w:ascii="Aptos" w:hAnsi="Aptos"/>
                <w:b w:val="0"/>
                <w:color w:val="222222"/>
                <w:sz w:val="16"/>
              </w:rPr>
              <w:t>Demographic</w:t>
            </w:r>
          </w:p>
        </w:tc>
        <w:tc>
          <w:tcPr>
            <w:tcW w:w="2045" w:type="dxa"/>
            <w:tcMar>
              <w:top w:w="80" w:type="dxa"/>
              <w:left w:w="80" w:type="dxa"/>
              <w:bottom w:w="80" w:type="dxa"/>
              <w:right w:w="80" w:type="dxa"/>
            </w:tcMar>
            <w:vAlign w:val="center"/>
          </w:tcPr>
          <w:p w14:paraId="355E4766">
            <w:pPr>
              <w:spacing w:after="0" w:line="240" w:lineRule="auto"/>
            </w:pPr>
            <w:r>
              <w:rPr>
                <w:rFonts w:ascii="Aptos" w:hAnsi="Aptos"/>
                <w:b w:val="0"/>
                <w:color w:val="222222"/>
                <w:sz w:val="16"/>
              </w:rPr>
              <w:t>SeniorCitizen</w:t>
            </w:r>
          </w:p>
        </w:tc>
        <w:tc>
          <w:tcPr>
            <w:tcW w:w="2045" w:type="dxa"/>
            <w:tcMar>
              <w:top w:w="80" w:type="dxa"/>
              <w:left w:w="80" w:type="dxa"/>
              <w:bottom w:w="80" w:type="dxa"/>
              <w:right w:w="80" w:type="dxa"/>
            </w:tcMar>
            <w:vAlign w:val="center"/>
          </w:tcPr>
          <w:p w14:paraId="276C7191">
            <w:pPr>
              <w:spacing w:after="0" w:line="240" w:lineRule="auto"/>
            </w:pPr>
            <w:r>
              <w:rPr>
                <w:rFonts w:ascii="Aptos" w:hAnsi="Aptos"/>
                <w:b w:val="0"/>
                <w:color w:val="222222"/>
                <w:sz w:val="16"/>
              </w:rPr>
              <w:t>Binary indicator</w:t>
            </w:r>
          </w:p>
        </w:tc>
        <w:tc>
          <w:tcPr>
            <w:tcW w:w="2045" w:type="dxa"/>
            <w:tcMar>
              <w:top w:w="80" w:type="dxa"/>
              <w:left w:w="80" w:type="dxa"/>
              <w:bottom w:w="80" w:type="dxa"/>
              <w:right w:w="80" w:type="dxa"/>
            </w:tcMar>
            <w:vAlign w:val="center"/>
          </w:tcPr>
          <w:p w14:paraId="12F96B53">
            <w:pPr>
              <w:spacing w:after="0" w:line="240" w:lineRule="auto"/>
            </w:pPr>
            <w:r>
              <w:rPr>
                <w:rFonts w:ascii="Aptos" w:hAnsi="Aptos"/>
                <w:b w:val="0"/>
                <w:color w:val="222222"/>
                <w:sz w:val="16"/>
              </w:rPr>
              <w:t>0 / 1</w:t>
            </w:r>
          </w:p>
        </w:tc>
        <w:tc>
          <w:tcPr>
            <w:tcW w:w="2045" w:type="dxa"/>
            <w:tcMar>
              <w:top w:w="80" w:type="dxa"/>
              <w:left w:w="80" w:type="dxa"/>
              <w:bottom w:w="80" w:type="dxa"/>
              <w:right w:w="80" w:type="dxa"/>
            </w:tcMar>
            <w:vAlign w:val="center"/>
          </w:tcPr>
          <w:p w14:paraId="6D9DFD09">
            <w:pPr>
              <w:spacing w:after="0" w:line="240" w:lineRule="auto"/>
            </w:pPr>
            <w:r>
              <w:rPr>
                <w:rFonts w:ascii="Aptos" w:hAnsi="Aptos"/>
                <w:b w:val="0"/>
                <w:color w:val="222222"/>
                <w:sz w:val="16"/>
              </w:rPr>
              <w:t>1 = senior citizen; 0 = not senior citizen.</w:t>
            </w:r>
          </w:p>
        </w:tc>
      </w:tr>
      <w:tr w14:paraId="3CFD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3F7ABCFA">
            <w:pPr>
              <w:spacing w:after="0" w:line="240" w:lineRule="auto"/>
            </w:pPr>
            <w:r>
              <w:rPr>
                <w:rFonts w:ascii="Aptos" w:hAnsi="Aptos"/>
                <w:b w:val="0"/>
                <w:color w:val="222222"/>
                <w:sz w:val="16"/>
              </w:rPr>
              <w:t>Demographic</w:t>
            </w:r>
          </w:p>
        </w:tc>
        <w:tc>
          <w:tcPr>
            <w:tcW w:w="2045" w:type="dxa"/>
            <w:tcMar>
              <w:top w:w="80" w:type="dxa"/>
              <w:left w:w="80" w:type="dxa"/>
              <w:bottom w:w="80" w:type="dxa"/>
              <w:right w:w="80" w:type="dxa"/>
            </w:tcMar>
            <w:vAlign w:val="center"/>
          </w:tcPr>
          <w:p w14:paraId="54CC1D0D">
            <w:pPr>
              <w:spacing w:after="0" w:line="240" w:lineRule="auto"/>
            </w:pPr>
            <w:r>
              <w:rPr>
                <w:rFonts w:ascii="Aptos" w:hAnsi="Aptos"/>
                <w:b w:val="0"/>
                <w:color w:val="222222"/>
                <w:sz w:val="16"/>
              </w:rPr>
              <w:t>Partner</w:t>
            </w:r>
          </w:p>
        </w:tc>
        <w:tc>
          <w:tcPr>
            <w:tcW w:w="2045" w:type="dxa"/>
            <w:tcMar>
              <w:top w:w="80" w:type="dxa"/>
              <w:left w:w="80" w:type="dxa"/>
              <w:bottom w:w="80" w:type="dxa"/>
              <w:right w:w="80" w:type="dxa"/>
            </w:tcMar>
            <w:vAlign w:val="center"/>
          </w:tcPr>
          <w:p w14:paraId="390CBE29">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6B414265">
            <w:pPr>
              <w:spacing w:after="0" w:line="240" w:lineRule="auto"/>
            </w:pPr>
            <w:r>
              <w:rPr>
                <w:rFonts w:ascii="Aptos" w:hAnsi="Aptos"/>
                <w:b w:val="0"/>
                <w:color w:val="222222"/>
                <w:sz w:val="16"/>
              </w:rPr>
              <w:t>Yes / No</w:t>
            </w:r>
          </w:p>
        </w:tc>
        <w:tc>
          <w:tcPr>
            <w:tcW w:w="2045" w:type="dxa"/>
            <w:tcMar>
              <w:top w:w="80" w:type="dxa"/>
              <w:left w:w="80" w:type="dxa"/>
              <w:bottom w:w="80" w:type="dxa"/>
              <w:right w:w="80" w:type="dxa"/>
            </w:tcMar>
            <w:vAlign w:val="center"/>
          </w:tcPr>
          <w:p w14:paraId="0731B4BA">
            <w:pPr>
              <w:spacing w:after="0" w:line="240" w:lineRule="auto"/>
            </w:pPr>
            <w:r>
              <w:rPr>
                <w:rFonts w:ascii="Aptos" w:hAnsi="Aptos"/>
                <w:b w:val="0"/>
                <w:color w:val="222222"/>
                <w:sz w:val="16"/>
              </w:rPr>
              <w:t>Whether the customer has a partner.</w:t>
            </w:r>
          </w:p>
        </w:tc>
      </w:tr>
      <w:tr w14:paraId="3689D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Mar>
              <w:top w:w="80" w:type="dxa"/>
              <w:left w:w="80" w:type="dxa"/>
              <w:bottom w:w="80" w:type="dxa"/>
              <w:right w:w="80" w:type="dxa"/>
            </w:tcMar>
            <w:vAlign w:val="center"/>
          </w:tcPr>
          <w:p w14:paraId="6DE99697">
            <w:pPr>
              <w:spacing w:after="0" w:line="240" w:lineRule="auto"/>
            </w:pPr>
            <w:r>
              <w:rPr>
                <w:rFonts w:ascii="Aptos" w:hAnsi="Aptos"/>
                <w:b w:val="0"/>
                <w:color w:val="222222"/>
                <w:sz w:val="16"/>
              </w:rPr>
              <w:t>Demographic</w:t>
            </w:r>
          </w:p>
        </w:tc>
        <w:tc>
          <w:tcPr>
            <w:tcW w:w="2045" w:type="dxa"/>
            <w:tcMar>
              <w:top w:w="80" w:type="dxa"/>
              <w:left w:w="80" w:type="dxa"/>
              <w:bottom w:w="80" w:type="dxa"/>
              <w:right w:w="80" w:type="dxa"/>
            </w:tcMar>
            <w:vAlign w:val="center"/>
          </w:tcPr>
          <w:p w14:paraId="608C1025">
            <w:pPr>
              <w:spacing w:after="0" w:line="240" w:lineRule="auto"/>
            </w:pPr>
            <w:r>
              <w:rPr>
                <w:rFonts w:ascii="Aptos" w:hAnsi="Aptos"/>
                <w:b w:val="0"/>
                <w:color w:val="222222"/>
                <w:sz w:val="16"/>
              </w:rPr>
              <w:t>Dependents</w:t>
            </w:r>
          </w:p>
        </w:tc>
        <w:tc>
          <w:tcPr>
            <w:tcW w:w="2045" w:type="dxa"/>
            <w:tcMar>
              <w:top w:w="80" w:type="dxa"/>
              <w:left w:w="80" w:type="dxa"/>
              <w:bottom w:w="80" w:type="dxa"/>
              <w:right w:w="80" w:type="dxa"/>
            </w:tcMar>
            <w:vAlign w:val="center"/>
          </w:tcPr>
          <w:p w14:paraId="2B191C3B">
            <w:pPr>
              <w:spacing w:after="0" w:line="240" w:lineRule="auto"/>
            </w:pPr>
            <w:r>
              <w:rPr>
                <w:rFonts w:ascii="Aptos" w:hAnsi="Aptos"/>
                <w:b w:val="0"/>
                <w:color w:val="222222"/>
                <w:sz w:val="16"/>
              </w:rPr>
              <w:t>Categorical</w:t>
            </w:r>
          </w:p>
        </w:tc>
        <w:tc>
          <w:tcPr>
            <w:tcW w:w="2045" w:type="dxa"/>
            <w:tcMar>
              <w:top w:w="80" w:type="dxa"/>
              <w:left w:w="80" w:type="dxa"/>
              <w:bottom w:w="80" w:type="dxa"/>
              <w:right w:w="80" w:type="dxa"/>
            </w:tcMar>
            <w:vAlign w:val="center"/>
          </w:tcPr>
          <w:p w14:paraId="5EF9742F">
            <w:pPr>
              <w:spacing w:after="0" w:line="240" w:lineRule="auto"/>
            </w:pPr>
            <w:r>
              <w:rPr>
                <w:rFonts w:ascii="Aptos" w:hAnsi="Aptos"/>
                <w:b w:val="0"/>
                <w:color w:val="222222"/>
                <w:sz w:val="16"/>
              </w:rPr>
              <w:t>Yes / No</w:t>
            </w:r>
          </w:p>
        </w:tc>
        <w:tc>
          <w:tcPr>
            <w:tcW w:w="2045" w:type="dxa"/>
            <w:tcMar>
              <w:top w:w="80" w:type="dxa"/>
              <w:left w:w="80" w:type="dxa"/>
              <w:bottom w:w="80" w:type="dxa"/>
              <w:right w:w="80" w:type="dxa"/>
            </w:tcMar>
            <w:vAlign w:val="center"/>
          </w:tcPr>
          <w:p w14:paraId="58D45E2D">
            <w:pPr>
              <w:spacing w:after="0" w:line="240" w:lineRule="auto"/>
            </w:pPr>
            <w:r>
              <w:rPr>
                <w:rFonts w:ascii="Aptos" w:hAnsi="Aptos"/>
                <w:b w:val="0"/>
                <w:color w:val="222222"/>
                <w:sz w:val="16"/>
              </w:rPr>
              <w:t>Whether the customer has dependents.</w:t>
            </w:r>
          </w:p>
        </w:tc>
      </w:tr>
    </w:tbl>
    <w:p w14:paraId="139C45D1">
      <w:pPr>
        <w:pStyle w:val="164"/>
        <w:spacing w:line="259" w:lineRule="auto"/>
      </w:pPr>
      <w:r>
        <w:t>Observed category values above were taken directly from Customer_churn.csv</w:t>
      </w:r>
    </w:p>
    <w:p w14:paraId="7D1C1648">
      <w:pPr>
        <w:spacing w:line="259" w:lineRule="auto"/>
      </w:pPr>
      <w:r>
        <w:br w:type="page"/>
      </w:r>
    </w:p>
    <w:p w14:paraId="69B03D61">
      <w:pPr>
        <w:pStyle w:val="2"/>
        <w:spacing w:line="259" w:lineRule="auto"/>
      </w:pPr>
      <w:r>
        <w:t>4. Raw-Data Assessment</w:t>
      </w:r>
    </w:p>
    <w:p w14:paraId="6FA4D524">
      <w:pPr>
        <w:pStyle w:val="3"/>
        <w:spacing w:line="259" w:lineRule="auto"/>
      </w:pPr>
      <w:r>
        <w:t>4.1 Structural checks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17E63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08" w:type="dxa"/>
            <w:shd w:val="clear" w:color="auto" w:fill="17365D"/>
            <w:tcMar>
              <w:top w:w="80" w:type="dxa"/>
              <w:left w:w="80" w:type="dxa"/>
              <w:bottom w:w="80" w:type="dxa"/>
              <w:right w:w="80" w:type="dxa"/>
            </w:tcMar>
            <w:vAlign w:val="center"/>
          </w:tcPr>
          <w:p w14:paraId="35F72411">
            <w:pPr>
              <w:spacing w:after="0" w:line="240" w:lineRule="auto"/>
            </w:pPr>
            <w:r>
              <w:rPr>
                <w:rFonts w:ascii="Aptos" w:hAnsi="Aptos"/>
                <w:b/>
                <w:color w:val="FFFFFF"/>
                <w:sz w:val="18"/>
              </w:rPr>
              <w:t>Check</w:t>
            </w:r>
          </w:p>
        </w:tc>
        <w:tc>
          <w:tcPr>
            <w:tcW w:w="3408" w:type="dxa"/>
            <w:shd w:val="clear" w:color="auto" w:fill="17365D"/>
            <w:tcMar>
              <w:top w:w="80" w:type="dxa"/>
              <w:left w:w="80" w:type="dxa"/>
              <w:bottom w:w="80" w:type="dxa"/>
              <w:right w:w="80" w:type="dxa"/>
            </w:tcMar>
            <w:vAlign w:val="center"/>
          </w:tcPr>
          <w:p w14:paraId="3625F6E4">
            <w:pPr>
              <w:spacing w:after="0" w:line="240" w:lineRule="auto"/>
            </w:pPr>
            <w:r>
              <w:rPr>
                <w:rFonts w:ascii="Aptos" w:hAnsi="Aptos"/>
                <w:b/>
                <w:color w:val="FFFFFF"/>
                <w:sz w:val="18"/>
              </w:rPr>
              <w:t>Finding</w:t>
            </w:r>
          </w:p>
        </w:tc>
        <w:tc>
          <w:tcPr>
            <w:tcW w:w="3408" w:type="dxa"/>
            <w:shd w:val="clear" w:color="auto" w:fill="17365D"/>
            <w:tcMar>
              <w:top w:w="80" w:type="dxa"/>
              <w:left w:w="80" w:type="dxa"/>
              <w:bottom w:w="80" w:type="dxa"/>
              <w:right w:w="80" w:type="dxa"/>
            </w:tcMar>
            <w:vAlign w:val="center"/>
          </w:tcPr>
          <w:p w14:paraId="70BE1506">
            <w:pPr>
              <w:spacing w:after="0" w:line="240" w:lineRule="auto"/>
            </w:pPr>
            <w:r>
              <w:rPr>
                <w:rFonts w:ascii="Aptos" w:hAnsi="Aptos"/>
                <w:b/>
                <w:color w:val="FFFFFF"/>
                <w:sz w:val="18"/>
              </w:rPr>
              <w:t>Status</w:t>
            </w:r>
          </w:p>
        </w:tc>
      </w:tr>
      <w:tr w14:paraId="4153E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2378415D">
            <w:pPr>
              <w:spacing w:after="0" w:line="240" w:lineRule="auto"/>
            </w:pPr>
            <w:r>
              <w:rPr>
                <w:rFonts w:ascii="Aptos" w:hAnsi="Aptos"/>
                <w:b w:val="0"/>
                <w:color w:val="222222"/>
                <w:sz w:val="18"/>
              </w:rPr>
              <w:t>Dataset dimensions</w:t>
            </w:r>
          </w:p>
        </w:tc>
        <w:tc>
          <w:tcPr>
            <w:tcW w:w="3408" w:type="dxa"/>
            <w:tcMar>
              <w:top w:w="80" w:type="dxa"/>
              <w:left w:w="80" w:type="dxa"/>
              <w:bottom w:w="80" w:type="dxa"/>
              <w:right w:w="80" w:type="dxa"/>
            </w:tcMar>
            <w:vAlign w:val="center"/>
          </w:tcPr>
          <w:p w14:paraId="3127F08C">
            <w:pPr>
              <w:spacing w:after="0" w:line="240" w:lineRule="auto"/>
            </w:pPr>
            <w:r>
              <w:rPr>
                <w:rFonts w:ascii="Aptos" w:hAnsi="Aptos"/>
                <w:b w:val="0"/>
                <w:color w:val="222222"/>
                <w:sz w:val="18"/>
              </w:rPr>
              <w:t>7,043 rows × 21 columns</w:t>
            </w:r>
          </w:p>
        </w:tc>
        <w:tc>
          <w:tcPr>
            <w:tcW w:w="3408" w:type="dxa"/>
            <w:shd w:val="clear" w:color="auto" w:fill="E2F0D9"/>
            <w:tcMar>
              <w:top w:w="80" w:type="dxa"/>
              <w:left w:w="80" w:type="dxa"/>
              <w:bottom w:w="80" w:type="dxa"/>
              <w:right w:w="80" w:type="dxa"/>
            </w:tcMar>
            <w:vAlign w:val="center"/>
          </w:tcPr>
          <w:p w14:paraId="74D073C9">
            <w:pPr>
              <w:spacing w:after="0" w:line="240" w:lineRule="auto"/>
            </w:pPr>
            <w:r>
              <w:rPr>
                <w:rFonts w:ascii="Aptos" w:hAnsi="Aptos"/>
                <w:b w:val="0"/>
                <w:color w:val="222222"/>
                <w:sz w:val="18"/>
              </w:rPr>
              <w:t>PASS</w:t>
            </w:r>
          </w:p>
        </w:tc>
      </w:tr>
      <w:tr w14:paraId="04D2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34624A9E">
            <w:pPr>
              <w:spacing w:after="0" w:line="240" w:lineRule="auto"/>
            </w:pPr>
            <w:r>
              <w:rPr>
                <w:rFonts w:ascii="Aptos" w:hAnsi="Aptos"/>
                <w:b w:val="0"/>
                <w:color w:val="222222"/>
                <w:sz w:val="18"/>
              </w:rPr>
              <w:t>Fully duplicated rows</w:t>
            </w:r>
          </w:p>
        </w:tc>
        <w:tc>
          <w:tcPr>
            <w:tcW w:w="3408" w:type="dxa"/>
            <w:tcMar>
              <w:top w:w="80" w:type="dxa"/>
              <w:left w:w="80" w:type="dxa"/>
              <w:bottom w:w="80" w:type="dxa"/>
              <w:right w:w="80" w:type="dxa"/>
            </w:tcMar>
            <w:vAlign w:val="center"/>
          </w:tcPr>
          <w:p w14:paraId="0125285E">
            <w:pPr>
              <w:spacing w:after="0" w:line="240" w:lineRule="auto"/>
            </w:pPr>
            <w:r>
              <w:rPr>
                <w:rFonts w:ascii="Aptos" w:hAnsi="Aptos"/>
                <w:b w:val="0"/>
                <w:color w:val="222222"/>
                <w:sz w:val="18"/>
              </w:rPr>
              <w:t>0 duplicates</w:t>
            </w:r>
          </w:p>
        </w:tc>
        <w:tc>
          <w:tcPr>
            <w:tcW w:w="3408" w:type="dxa"/>
            <w:shd w:val="clear" w:color="auto" w:fill="E2F0D9"/>
            <w:tcMar>
              <w:top w:w="80" w:type="dxa"/>
              <w:left w:w="80" w:type="dxa"/>
              <w:bottom w:w="80" w:type="dxa"/>
              <w:right w:w="80" w:type="dxa"/>
            </w:tcMar>
            <w:vAlign w:val="center"/>
          </w:tcPr>
          <w:p w14:paraId="58B5D68F">
            <w:pPr>
              <w:spacing w:after="0" w:line="240" w:lineRule="auto"/>
            </w:pPr>
            <w:r>
              <w:rPr>
                <w:rFonts w:ascii="Aptos" w:hAnsi="Aptos"/>
                <w:b w:val="0"/>
                <w:color w:val="222222"/>
                <w:sz w:val="18"/>
              </w:rPr>
              <w:t>PASS</w:t>
            </w:r>
          </w:p>
        </w:tc>
      </w:tr>
      <w:tr w14:paraId="7F1A2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1FFAE8C4">
            <w:pPr>
              <w:spacing w:after="0" w:line="240" w:lineRule="auto"/>
            </w:pPr>
            <w:r>
              <w:rPr>
                <w:rFonts w:ascii="Aptos" w:hAnsi="Aptos"/>
                <w:b w:val="0"/>
                <w:color w:val="222222"/>
                <w:sz w:val="18"/>
              </w:rPr>
              <w:t>Duplicate customerID values</w:t>
            </w:r>
          </w:p>
        </w:tc>
        <w:tc>
          <w:tcPr>
            <w:tcW w:w="3408" w:type="dxa"/>
            <w:tcMar>
              <w:top w:w="80" w:type="dxa"/>
              <w:left w:w="80" w:type="dxa"/>
              <w:bottom w:w="80" w:type="dxa"/>
              <w:right w:w="80" w:type="dxa"/>
            </w:tcMar>
            <w:vAlign w:val="center"/>
          </w:tcPr>
          <w:p w14:paraId="33159856">
            <w:pPr>
              <w:spacing w:after="0" w:line="240" w:lineRule="auto"/>
            </w:pPr>
            <w:r>
              <w:rPr>
                <w:rFonts w:ascii="Aptos" w:hAnsi="Aptos"/>
                <w:b w:val="0"/>
                <w:color w:val="222222"/>
                <w:sz w:val="18"/>
              </w:rPr>
              <w:t>0 duplicates</w:t>
            </w:r>
          </w:p>
        </w:tc>
        <w:tc>
          <w:tcPr>
            <w:tcW w:w="3408" w:type="dxa"/>
            <w:shd w:val="clear" w:color="auto" w:fill="E2F0D9"/>
            <w:tcMar>
              <w:top w:w="80" w:type="dxa"/>
              <w:left w:w="80" w:type="dxa"/>
              <w:bottom w:w="80" w:type="dxa"/>
              <w:right w:w="80" w:type="dxa"/>
            </w:tcMar>
            <w:vAlign w:val="center"/>
          </w:tcPr>
          <w:p w14:paraId="100C1EFD">
            <w:pPr>
              <w:spacing w:after="0" w:line="240" w:lineRule="auto"/>
            </w:pPr>
            <w:r>
              <w:rPr>
                <w:rFonts w:ascii="Aptos" w:hAnsi="Aptos"/>
                <w:b w:val="0"/>
                <w:color w:val="222222"/>
                <w:sz w:val="18"/>
              </w:rPr>
              <w:t>PASS</w:t>
            </w:r>
          </w:p>
        </w:tc>
      </w:tr>
      <w:tr w14:paraId="7F6D4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7639A862">
            <w:pPr>
              <w:spacing w:after="0" w:line="240" w:lineRule="auto"/>
            </w:pPr>
            <w:r>
              <w:rPr>
                <w:rFonts w:ascii="Aptos" w:hAnsi="Aptos"/>
                <w:b w:val="0"/>
                <w:color w:val="222222"/>
                <w:sz w:val="18"/>
              </w:rPr>
              <w:t>Pandas-recognized missing values</w:t>
            </w:r>
          </w:p>
        </w:tc>
        <w:tc>
          <w:tcPr>
            <w:tcW w:w="3408" w:type="dxa"/>
            <w:tcMar>
              <w:top w:w="80" w:type="dxa"/>
              <w:left w:w="80" w:type="dxa"/>
              <w:bottom w:w="80" w:type="dxa"/>
              <w:right w:w="80" w:type="dxa"/>
            </w:tcMar>
            <w:vAlign w:val="center"/>
          </w:tcPr>
          <w:p w14:paraId="151A4C13">
            <w:pPr>
              <w:spacing w:after="0" w:line="240" w:lineRule="auto"/>
            </w:pPr>
            <w:r>
              <w:rPr>
                <w:rFonts w:ascii="Aptos" w:hAnsi="Aptos"/>
                <w:b w:val="0"/>
                <w:color w:val="222222"/>
                <w:sz w:val="18"/>
              </w:rPr>
              <w:t>0 across all columns</w:t>
            </w:r>
          </w:p>
        </w:tc>
        <w:tc>
          <w:tcPr>
            <w:tcW w:w="3408" w:type="dxa"/>
            <w:shd w:val="clear" w:color="auto" w:fill="E2F0D9"/>
            <w:tcMar>
              <w:top w:w="80" w:type="dxa"/>
              <w:left w:w="80" w:type="dxa"/>
              <w:bottom w:w="80" w:type="dxa"/>
              <w:right w:w="80" w:type="dxa"/>
            </w:tcMar>
            <w:vAlign w:val="center"/>
          </w:tcPr>
          <w:p w14:paraId="59E03514">
            <w:pPr>
              <w:spacing w:after="0" w:line="240" w:lineRule="auto"/>
            </w:pPr>
            <w:r>
              <w:rPr>
                <w:rFonts w:ascii="Aptos" w:hAnsi="Aptos"/>
                <w:b w:val="0"/>
                <w:color w:val="222222"/>
                <w:sz w:val="18"/>
              </w:rPr>
              <w:t>PASS*</w:t>
            </w:r>
          </w:p>
        </w:tc>
      </w:tr>
      <w:tr w14:paraId="5FF8D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55CDCB2A">
            <w:pPr>
              <w:spacing w:after="0" w:line="240" w:lineRule="auto"/>
            </w:pPr>
            <w:r>
              <w:rPr>
                <w:rFonts w:ascii="Aptos" w:hAnsi="Aptos"/>
                <w:b w:val="0"/>
                <w:color w:val="222222"/>
                <w:sz w:val="18"/>
              </w:rPr>
              <w:t>Whitespace-only values</w:t>
            </w:r>
          </w:p>
        </w:tc>
        <w:tc>
          <w:tcPr>
            <w:tcW w:w="3408" w:type="dxa"/>
            <w:tcMar>
              <w:top w:w="80" w:type="dxa"/>
              <w:left w:w="80" w:type="dxa"/>
              <w:bottom w:w="80" w:type="dxa"/>
              <w:right w:w="80" w:type="dxa"/>
            </w:tcMar>
            <w:vAlign w:val="center"/>
          </w:tcPr>
          <w:p w14:paraId="5532DB22">
            <w:pPr>
              <w:spacing w:after="0" w:line="240" w:lineRule="auto"/>
            </w:pPr>
            <w:r>
              <w:rPr>
                <w:rFonts w:ascii="Aptos" w:hAnsi="Aptos"/>
                <w:b w:val="0"/>
                <w:color w:val="222222"/>
                <w:sz w:val="18"/>
              </w:rPr>
              <w:t>11 in TotalCharges</w:t>
            </w:r>
          </w:p>
        </w:tc>
        <w:tc>
          <w:tcPr>
            <w:tcW w:w="3408" w:type="dxa"/>
            <w:shd w:val="clear" w:color="auto" w:fill="FCE4D6"/>
            <w:tcMar>
              <w:top w:w="80" w:type="dxa"/>
              <w:left w:w="80" w:type="dxa"/>
              <w:bottom w:w="80" w:type="dxa"/>
              <w:right w:w="80" w:type="dxa"/>
            </w:tcMar>
            <w:vAlign w:val="center"/>
          </w:tcPr>
          <w:p w14:paraId="6D3236DA">
            <w:pPr>
              <w:spacing w:after="0" w:line="240" w:lineRule="auto"/>
            </w:pPr>
            <w:r>
              <w:rPr>
                <w:rFonts w:ascii="Aptos" w:hAnsi="Aptos"/>
                <w:b w:val="0"/>
                <w:color w:val="222222"/>
                <w:sz w:val="18"/>
              </w:rPr>
              <w:t>ACTION REQUIRED</w:t>
            </w:r>
          </w:p>
        </w:tc>
      </w:tr>
      <w:tr w14:paraId="46BA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2FAF3FF6">
            <w:pPr>
              <w:spacing w:after="0" w:line="240" w:lineRule="auto"/>
            </w:pPr>
            <w:r>
              <w:rPr>
                <w:rFonts w:ascii="Aptos" w:hAnsi="Aptos"/>
                <w:b w:val="0"/>
                <w:color w:val="222222"/>
                <w:sz w:val="18"/>
              </w:rPr>
              <w:t>Numeric type check</w:t>
            </w:r>
          </w:p>
        </w:tc>
        <w:tc>
          <w:tcPr>
            <w:tcW w:w="3408" w:type="dxa"/>
            <w:tcMar>
              <w:top w:w="80" w:type="dxa"/>
              <w:left w:w="80" w:type="dxa"/>
              <w:bottom w:w="80" w:type="dxa"/>
              <w:right w:w="80" w:type="dxa"/>
            </w:tcMar>
            <w:vAlign w:val="center"/>
          </w:tcPr>
          <w:p w14:paraId="6C9225B2">
            <w:pPr>
              <w:spacing w:after="0" w:line="240" w:lineRule="auto"/>
            </w:pPr>
            <w:r>
              <w:rPr>
                <w:rFonts w:ascii="Aptos" w:hAnsi="Aptos"/>
                <w:b w:val="0"/>
                <w:color w:val="222222"/>
                <w:sz w:val="18"/>
              </w:rPr>
              <w:t>TotalCharges is object/text rather than numeric</w:t>
            </w:r>
          </w:p>
        </w:tc>
        <w:tc>
          <w:tcPr>
            <w:tcW w:w="3408" w:type="dxa"/>
            <w:shd w:val="clear" w:color="auto" w:fill="FCE4D6"/>
            <w:tcMar>
              <w:top w:w="80" w:type="dxa"/>
              <w:left w:w="80" w:type="dxa"/>
              <w:bottom w:w="80" w:type="dxa"/>
              <w:right w:w="80" w:type="dxa"/>
            </w:tcMar>
            <w:vAlign w:val="center"/>
          </w:tcPr>
          <w:p w14:paraId="6425FD77">
            <w:pPr>
              <w:spacing w:after="0" w:line="240" w:lineRule="auto"/>
            </w:pPr>
            <w:r>
              <w:rPr>
                <w:rFonts w:ascii="Aptos" w:hAnsi="Aptos"/>
                <w:b w:val="0"/>
                <w:color w:val="222222"/>
                <w:sz w:val="18"/>
              </w:rPr>
              <w:t>ACTION REQUIRED</w:t>
            </w:r>
          </w:p>
        </w:tc>
      </w:tr>
      <w:tr w14:paraId="06F0E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40EB4076">
            <w:pPr>
              <w:spacing w:after="0" w:line="240" w:lineRule="auto"/>
            </w:pPr>
            <w:r>
              <w:rPr>
                <w:rFonts w:ascii="Aptos" w:hAnsi="Aptos"/>
                <w:b w:val="0"/>
                <w:color w:val="222222"/>
                <w:sz w:val="18"/>
              </w:rPr>
              <w:t>Target completeness</w:t>
            </w:r>
          </w:p>
        </w:tc>
        <w:tc>
          <w:tcPr>
            <w:tcW w:w="3408" w:type="dxa"/>
            <w:tcMar>
              <w:top w:w="80" w:type="dxa"/>
              <w:left w:w="80" w:type="dxa"/>
              <w:bottom w:w="80" w:type="dxa"/>
              <w:right w:w="80" w:type="dxa"/>
            </w:tcMar>
            <w:vAlign w:val="center"/>
          </w:tcPr>
          <w:p w14:paraId="2B065F19">
            <w:pPr>
              <w:spacing w:after="0" w:line="240" w:lineRule="auto"/>
            </w:pPr>
            <w:r>
              <w:rPr>
                <w:rFonts w:ascii="Aptos" w:hAnsi="Aptos"/>
                <w:b w:val="0"/>
                <w:color w:val="222222"/>
                <w:sz w:val="18"/>
              </w:rPr>
              <w:t>Churn has 7,043 populated values</w:t>
            </w:r>
          </w:p>
        </w:tc>
        <w:tc>
          <w:tcPr>
            <w:tcW w:w="3408" w:type="dxa"/>
            <w:shd w:val="clear" w:color="auto" w:fill="E2F0D9"/>
            <w:tcMar>
              <w:top w:w="80" w:type="dxa"/>
              <w:left w:w="80" w:type="dxa"/>
              <w:bottom w:w="80" w:type="dxa"/>
              <w:right w:w="80" w:type="dxa"/>
            </w:tcMar>
            <w:vAlign w:val="center"/>
          </w:tcPr>
          <w:p w14:paraId="31AFE1E3">
            <w:pPr>
              <w:spacing w:after="0" w:line="240" w:lineRule="auto"/>
            </w:pPr>
            <w:r>
              <w:rPr>
                <w:rFonts w:ascii="Aptos" w:hAnsi="Aptos"/>
                <w:b w:val="0"/>
                <w:color w:val="222222"/>
                <w:sz w:val="18"/>
              </w:rPr>
              <w:t>PASS</w:t>
            </w:r>
          </w:p>
        </w:tc>
      </w:tr>
      <w:tr w14:paraId="00B4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80" w:type="dxa"/>
              <w:left w:w="80" w:type="dxa"/>
              <w:bottom w:w="80" w:type="dxa"/>
              <w:right w:w="80" w:type="dxa"/>
            </w:tcMar>
            <w:vAlign w:val="center"/>
          </w:tcPr>
          <w:p w14:paraId="091A7613">
            <w:pPr>
              <w:spacing w:after="0" w:line="240" w:lineRule="auto"/>
            </w:pPr>
            <w:r>
              <w:rPr>
                <w:rFonts w:ascii="Aptos" w:hAnsi="Aptos"/>
                <w:b w:val="0"/>
                <w:color w:val="222222"/>
                <w:sz w:val="18"/>
              </w:rPr>
              <w:t>Category inspection</w:t>
            </w:r>
          </w:p>
        </w:tc>
        <w:tc>
          <w:tcPr>
            <w:tcW w:w="3408" w:type="dxa"/>
            <w:tcMar>
              <w:top w:w="80" w:type="dxa"/>
              <w:left w:w="80" w:type="dxa"/>
              <w:bottom w:w="80" w:type="dxa"/>
              <w:right w:w="80" w:type="dxa"/>
            </w:tcMar>
            <w:vAlign w:val="center"/>
          </w:tcPr>
          <w:p w14:paraId="2259C704">
            <w:pPr>
              <w:spacing w:after="0" w:line="240" w:lineRule="auto"/>
            </w:pPr>
            <w:r>
              <w:rPr>
                <w:rFonts w:ascii="Aptos" w:hAnsi="Aptos"/>
                <w:b w:val="0"/>
                <w:color w:val="222222"/>
                <w:sz w:val="18"/>
              </w:rPr>
              <w:t>Expected categories observed across categorical fields</w:t>
            </w:r>
          </w:p>
        </w:tc>
        <w:tc>
          <w:tcPr>
            <w:tcW w:w="3408" w:type="dxa"/>
            <w:shd w:val="clear" w:color="auto" w:fill="E2F0D9"/>
            <w:tcMar>
              <w:top w:w="80" w:type="dxa"/>
              <w:left w:w="80" w:type="dxa"/>
              <w:bottom w:w="80" w:type="dxa"/>
              <w:right w:w="80" w:type="dxa"/>
            </w:tcMar>
            <w:vAlign w:val="center"/>
          </w:tcPr>
          <w:p w14:paraId="5947FF51">
            <w:pPr>
              <w:spacing w:after="0" w:line="240" w:lineRule="auto"/>
            </w:pPr>
            <w:r>
              <w:rPr>
                <w:rFonts w:ascii="Aptos" w:hAnsi="Aptos"/>
                <w:b w:val="0"/>
                <w:color w:val="222222"/>
                <w:sz w:val="18"/>
              </w:rPr>
              <w:t>PASS</w:t>
            </w:r>
          </w:p>
        </w:tc>
      </w:tr>
    </w:tbl>
    <w:p w14:paraId="3E18207A">
      <w:pPr>
        <w:pStyle w:val="164"/>
        <w:spacing w:line="259" w:lineRule="auto"/>
      </w:pPr>
      <w:r>
        <w:t>* “PASS” here means no nulls were detected by the CSV reader. It does not mean the raw data is completely clean: TotalCharges contains whitespace-only entries that are not automatically treated as NaN by a standard CSV read.</w:t>
      </w:r>
    </w:p>
    <w:p w14:paraId="131DFEB6">
      <w:pPr>
        <w:pStyle w:val="3"/>
        <w:spacing w:line="259" w:lineRule="auto"/>
      </w:pPr>
      <w:r>
        <w:t>4.2 Identified issue: TotalCharges</w:t>
      </w:r>
    </w:p>
    <w:p w14:paraId="71C7B54F">
      <w:pPr>
        <w:spacing w:line="259" w:lineRule="auto"/>
      </w:pPr>
      <w:r>
        <w:t>TotalCharges is imported as an object/string column. The raw file contains 11 rows where TotalCharges is a single whitespace value. All 11 affected rows have tenure = 0 and Churn = No.</w:t>
      </w:r>
    </w:p>
    <w:p w14:paraId="5858B2B0">
      <w:pPr>
        <w:pStyle w:val="23"/>
        <w:spacing w:after="60" w:line="259" w:lineRule="auto"/>
      </w:pPr>
      <w:r>
        <w:t>Do not feed the raw text column directly into numerical modelling.</w:t>
      </w:r>
    </w:p>
    <w:p w14:paraId="6DFDA45E">
      <w:pPr>
        <w:pStyle w:val="23"/>
        <w:spacing w:after="60" w:line="259" w:lineRule="auto"/>
      </w:pPr>
      <w:r>
        <w:t>The Data Preparation stage should standardize whitespace to missing, convert TotalCharges to numeric, and explicitly document the treatment of the 11 tenure-zero records.</w:t>
      </w:r>
    </w:p>
    <w:p w14:paraId="57B3E599">
      <w:pPr>
        <w:pStyle w:val="23"/>
        <w:spacing w:after="60" w:line="259" w:lineRule="auto"/>
      </w:pPr>
      <w:r>
        <w:t>The team should verify the relationship between tenure, MonthlyCharges and TotalCharges before choosing whether the missing cumulative charge should be imputed or represented as a business-valid zero.</w:t>
      </w:r>
    </w:p>
    <w:p w14:paraId="768BD525">
      <w:pPr>
        <w:pStyle w:val="23"/>
        <w:spacing w:after="60" w:line="259" w:lineRule="auto"/>
      </w:pPr>
      <w:r>
        <w:t>Any treatment must be implemented inside a reproducible preprocessing workflow so that training and future prototype inputs follow the same transformation rules.</w:t>
      </w:r>
    </w:p>
    <w:p w14:paraId="7CB0678B">
      <w:pPr>
        <w:pStyle w:val="3"/>
        <w:spacing w:line="259" w:lineRule="auto"/>
      </w:pPr>
      <w:r>
        <w:t>4.3 Target distribution</w:t>
      </w:r>
    </w:p>
    <w:p w14:paraId="55A48BF2">
      <w:pPr>
        <w:spacing w:line="259" w:lineRule="auto"/>
      </w:pPr>
      <w:r>
        <w:t>The target contains 5,174 No records (73.46%) and 1,869 Yes records (26.54%). The classes are therefore imbalanced, with retained customers forming the majority class.</w:t>
      </w:r>
    </w:p>
    <w:tbl>
      <w:tblPr>
        <w:tblStyle w:val="12"/>
        <w:tblW w:w="0" w:type="auto"/>
        <w:jc w:val="center"/>
        <w:tblLayout w:type="autofit"/>
        <w:tblCellMar>
          <w:top w:w="0" w:type="dxa"/>
          <w:left w:w="108" w:type="dxa"/>
          <w:bottom w:w="0" w:type="dxa"/>
          <w:right w:w="108" w:type="dxa"/>
        </w:tblCellMar>
      </w:tblPr>
      <w:tblGrid>
        <w:gridCol w:w="10224"/>
      </w:tblGrid>
      <w:tr w14:paraId="6FEC1EAF">
        <w:trPr>
          <w:jc w:val="center"/>
        </w:trPr>
        <w:tc>
          <w:tcPr>
            <w:tcW w:w="10224" w:type="dxa"/>
            <w:shd w:val="clear" w:color="auto" w:fill="FFF2CC"/>
            <w:tcMar>
              <w:top w:w="140" w:type="dxa"/>
              <w:left w:w="140" w:type="dxa"/>
              <w:bottom w:w="140" w:type="dxa"/>
              <w:right w:w="140" w:type="dxa"/>
            </w:tcMar>
          </w:tcPr>
          <w:p w14:paraId="3E511835">
            <w:pPr>
              <w:spacing w:after="60"/>
            </w:pPr>
            <w:r>
              <w:rPr>
                <w:b/>
                <w:color w:val="17365D"/>
                <w:sz w:val="21"/>
              </w:rPr>
              <w:t>Implication for downstream modelling</w:t>
            </w:r>
          </w:p>
          <w:p w14:paraId="0951DCDB">
            <w:pPr>
              <w:spacing w:after="0"/>
            </w:pPr>
            <w:r>
              <w:rPr>
                <w:sz w:val="19"/>
              </w:rPr>
              <w:t>Accuracy alone will not be sufficient to judge model quality. The team should inspect precision, recall, F1 and other appropriate measures, with business attention on missed churners (false negatives) and unnecessary churn flags (false positives), consistent with the project brief.</w:t>
            </w:r>
          </w:p>
        </w:tc>
      </w:tr>
    </w:tbl>
    <w:p w14:paraId="10F069DE">
      <w:pPr>
        <w:pStyle w:val="2"/>
        <w:spacing w:line="259" w:lineRule="auto"/>
      </w:pPr>
      <w:r>
        <w:t>5. Shared Explanation of the Important Customer Fields</w:t>
      </w:r>
    </w:p>
    <w:p w14:paraId="4F79E5FC">
      <w:pPr>
        <w:spacing w:line="259" w:lineRule="auto"/>
      </w:pPr>
      <w:r>
        <w:t>The technical team aligned on the following interpretation of the major field groups. This is the language that should be used consistently in notebooks, meetings, the final presentation, and the prototype documentation.</w:t>
      </w:r>
    </w:p>
    <w:p w14:paraId="45F4936C">
      <w:pPr>
        <w:pStyle w:val="3"/>
        <w:spacing w:line="259" w:lineRule="auto"/>
      </w:pPr>
      <w:r>
        <w:t>Customer identity</w:t>
      </w:r>
    </w:p>
    <w:p w14:paraId="4C555B76">
      <w:pPr>
        <w:spacing w:line="259" w:lineRule="auto"/>
      </w:pPr>
      <w:r>
        <w:t>customerID uniquely identifies the customer record. It is necessary for traceability in an interface or analysis output, but it should not be treated as a predictive signal because it represents identity rather than customer behaviour.</w:t>
      </w:r>
    </w:p>
    <w:p w14:paraId="7FC0E875">
      <w:pPr>
        <w:pStyle w:val="3"/>
        <w:spacing w:line="259" w:lineRule="auto"/>
      </w:pPr>
      <w:r>
        <w:t>Customer relationship strength</w:t>
      </w:r>
    </w:p>
    <w:p w14:paraId="65B56E87">
      <w:pPr>
        <w:spacing w:line="259" w:lineRule="auto"/>
      </w:pPr>
      <w:r>
        <w:t>tenure captures how long the customer has remained with the provider. Contract captures commitment structure. Together, these describe the customer’s relationship stage and contractual commitment.</w:t>
      </w:r>
    </w:p>
    <w:p w14:paraId="602A926F">
      <w:pPr>
        <w:pStyle w:val="3"/>
        <w:spacing w:line="259" w:lineRule="auto"/>
      </w:pPr>
      <w:r>
        <w:t>Financial behaviour</w:t>
      </w:r>
    </w:p>
    <w:p w14:paraId="3EEA253F">
      <w:pPr>
        <w:spacing w:line="259" w:lineRule="auto"/>
      </w:pPr>
      <w:r>
        <w:t>MonthlyCharges indicates current recurring spend while TotalCharges represents cumulative spend over the observed customer relationship. Both may contain useful behavioural information, but TotalCharges requires cleaning before it can be used numerically.</w:t>
      </w:r>
    </w:p>
    <w:p w14:paraId="281B5A50">
      <w:pPr>
        <w:pStyle w:val="3"/>
        <w:spacing w:line="259" w:lineRule="auto"/>
      </w:pPr>
      <w:r>
        <w:t>Payment and billing behaviour</w:t>
      </w:r>
    </w:p>
    <w:p w14:paraId="1657846D">
      <w:pPr>
        <w:spacing w:line="259" w:lineRule="auto"/>
      </w:pPr>
      <w:r>
        <w:t>PaymentMethod and PaperlessBilling describe how the customer is billed and pays. These fields can represent operational behaviour or customer preferences and should be interpreted as associations rather than assumed causes of churn.</w:t>
      </w:r>
    </w:p>
    <w:p w14:paraId="6A20C7EE">
      <w:pPr>
        <w:pStyle w:val="3"/>
        <w:spacing w:line="259" w:lineRule="auto"/>
      </w:pPr>
      <w:r>
        <w:t>Core connectivity services</w:t>
      </w:r>
    </w:p>
    <w:p w14:paraId="1093C24A">
      <w:pPr>
        <w:spacing w:line="259" w:lineRule="auto"/>
      </w:pPr>
      <w:r>
        <w:t>PhoneService, MultipleLines and InternetService describe the customer’s main communication and internet service setup.</w:t>
      </w:r>
    </w:p>
    <w:p w14:paraId="6BC6F8F4">
      <w:pPr>
        <w:pStyle w:val="3"/>
        <w:spacing w:line="259" w:lineRule="auto"/>
      </w:pPr>
      <w:r>
        <w:t>Ancillary digital services</w:t>
      </w:r>
    </w:p>
    <w:p w14:paraId="65BFD48E">
      <w:pPr>
        <w:spacing w:line="259" w:lineRule="auto"/>
      </w:pPr>
      <w:r>
        <w:t>OnlineSecurity, OnlineBackup, DeviceProtection, TechSupport, StreamingTV and StreamingMovies capture optional service subscriptions. “No internet service” is a meaningful structural category for the internet-dependent add-ons and should not automatically be collapsed into ordinary “No”.</w:t>
      </w:r>
    </w:p>
    <w:p w14:paraId="53043EA2">
      <w:pPr>
        <w:pStyle w:val="3"/>
        <w:spacing w:line="259" w:lineRule="auto"/>
      </w:pPr>
      <w:r>
        <w:t>Demographics and household context</w:t>
      </w:r>
    </w:p>
    <w:p w14:paraId="3945407C">
      <w:pPr>
        <w:spacing w:line="259" w:lineRule="auto"/>
      </w:pPr>
      <w:r>
        <w:t>gender, SeniorCitizen, Partner and Dependents describe customer profile and household context. These should be used carefully and discussed in terms of predictive association, not as deterministic explanations for churn.</w:t>
      </w:r>
    </w:p>
    <w:p w14:paraId="5977284B">
      <w:pPr>
        <w:pStyle w:val="3"/>
        <w:spacing w:line="259" w:lineRule="auto"/>
      </w:pPr>
      <w:r>
        <w:t>Outcome</w:t>
      </w:r>
    </w:p>
    <w:p w14:paraId="590CDF17">
      <w:pPr>
        <w:spacing w:line="259" w:lineRule="auto"/>
      </w:pPr>
      <w:r>
        <w:t>Churn is the label the model will learn to predict. The prototype output should be presented as a risk/classification signal rather than certainty, as stated in the project brief.</w:t>
      </w:r>
    </w:p>
    <w:p w14:paraId="543E6025">
      <w:pPr>
        <w:pStyle w:val="2"/>
        <w:spacing w:line="259" w:lineRule="auto"/>
      </w:pPr>
      <w:r>
        <w:t>6. Technical Data Contract for the Next Stages</w:t>
      </w:r>
    </w:p>
    <w:p w14:paraId="44CAA248">
      <w:pPr>
        <w:spacing w:line="259" w:lineRule="auto"/>
      </w:pPr>
      <w:r>
        <w:t>This section converts the data-understanding findings into explicit rules for the rest of the technical team.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192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1F4E79"/>
            <w:tcMar>
              <w:top w:w="80" w:type="dxa"/>
              <w:left w:w="80" w:type="dxa"/>
              <w:bottom w:w="80" w:type="dxa"/>
              <w:right w:w="80" w:type="dxa"/>
            </w:tcMar>
            <w:vAlign w:val="center"/>
          </w:tcPr>
          <w:p w14:paraId="2EED25E6">
            <w:pPr>
              <w:spacing w:after="0" w:line="240" w:lineRule="auto"/>
            </w:pPr>
            <w:r>
              <w:rPr>
                <w:rFonts w:ascii="Aptos" w:hAnsi="Aptos"/>
                <w:b/>
                <w:color w:val="FFFFFF"/>
                <w:sz w:val="18"/>
              </w:rPr>
              <w:t>Rule</w:t>
            </w:r>
          </w:p>
        </w:tc>
        <w:tc>
          <w:tcPr>
            <w:tcW w:w="5112" w:type="dxa"/>
            <w:shd w:val="clear" w:color="auto" w:fill="1F4E79"/>
            <w:tcMar>
              <w:top w:w="80" w:type="dxa"/>
              <w:left w:w="80" w:type="dxa"/>
              <w:bottom w:w="80" w:type="dxa"/>
              <w:right w:w="80" w:type="dxa"/>
            </w:tcMar>
            <w:vAlign w:val="center"/>
          </w:tcPr>
          <w:p w14:paraId="222107AF">
            <w:pPr>
              <w:spacing w:after="0" w:line="240" w:lineRule="auto"/>
            </w:pPr>
            <w:r>
              <w:rPr>
                <w:rFonts w:ascii="Aptos" w:hAnsi="Aptos"/>
                <w:b/>
                <w:color w:val="FFFFFF"/>
                <w:sz w:val="18"/>
              </w:rPr>
              <w:t>Required practice</w:t>
            </w:r>
          </w:p>
        </w:tc>
      </w:tr>
      <w:tr w14:paraId="0A4FF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40EE5141">
            <w:pPr>
              <w:spacing w:after="0" w:line="240" w:lineRule="auto"/>
            </w:pPr>
            <w:r>
              <w:rPr>
                <w:rFonts w:ascii="Aptos" w:hAnsi="Aptos"/>
                <w:b w:val="0"/>
                <w:color w:val="222222"/>
                <w:sz w:val="18"/>
              </w:rPr>
              <w:t>Raw data preservation</w:t>
            </w:r>
          </w:p>
        </w:tc>
        <w:tc>
          <w:tcPr>
            <w:tcW w:w="5112" w:type="dxa"/>
            <w:tcMar>
              <w:top w:w="80" w:type="dxa"/>
              <w:left w:w="80" w:type="dxa"/>
              <w:bottom w:w="80" w:type="dxa"/>
              <w:right w:w="80" w:type="dxa"/>
            </w:tcMar>
            <w:vAlign w:val="center"/>
          </w:tcPr>
          <w:p w14:paraId="44E768C9">
            <w:pPr>
              <w:spacing w:after="0" w:line="240" w:lineRule="auto"/>
            </w:pPr>
            <w:r>
              <w:rPr>
                <w:rFonts w:ascii="Aptos" w:hAnsi="Aptos"/>
                <w:b w:val="0"/>
                <w:color w:val="222222"/>
                <w:sz w:val="18"/>
              </w:rPr>
              <w:t>Keep Customer_churn.csv unchanged as the raw source artifact. Never overwrite the raw source with cleaned values.</w:t>
            </w:r>
          </w:p>
        </w:tc>
      </w:tr>
      <w:tr w14:paraId="3A9D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0DBDB462">
            <w:pPr>
              <w:spacing w:after="0" w:line="240" w:lineRule="auto"/>
            </w:pPr>
            <w:r>
              <w:rPr>
                <w:rFonts w:ascii="Aptos" w:hAnsi="Aptos"/>
                <w:b w:val="0"/>
                <w:color w:val="222222"/>
                <w:sz w:val="18"/>
              </w:rPr>
              <w:t>Identifier handling</w:t>
            </w:r>
          </w:p>
        </w:tc>
        <w:tc>
          <w:tcPr>
            <w:tcW w:w="5112" w:type="dxa"/>
            <w:tcMar>
              <w:top w:w="80" w:type="dxa"/>
              <w:left w:w="80" w:type="dxa"/>
              <w:bottom w:w="80" w:type="dxa"/>
              <w:right w:w="80" w:type="dxa"/>
            </w:tcMar>
            <w:vAlign w:val="center"/>
          </w:tcPr>
          <w:p w14:paraId="59C9A983">
            <w:pPr>
              <w:spacing w:after="0" w:line="240" w:lineRule="auto"/>
            </w:pPr>
            <w:r>
              <w:rPr>
                <w:rFonts w:ascii="Aptos" w:hAnsi="Aptos"/>
                <w:b w:val="0"/>
                <w:color w:val="222222"/>
                <w:sz w:val="18"/>
              </w:rPr>
              <w:t>Retain customerID for traceability and prototype display where needed, but exclude it from model features unless a later experiment provides a defensible reason to do otherwise.</w:t>
            </w:r>
          </w:p>
        </w:tc>
      </w:tr>
      <w:tr w14:paraId="77AA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51E19BB3">
            <w:pPr>
              <w:spacing w:after="0" w:line="240" w:lineRule="auto"/>
            </w:pPr>
            <w:r>
              <w:rPr>
                <w:rFonts w:ascii="Aptos" w:hAnsi="Aptos"/>
                <w:b w:val="0"/>
                <w:color w:val="222222"/>
                <w:sz w:val="18"/>
              </w:rPr>
              <w:t>TotalCharges</w:t>
            </w:r>
          </w:p>
        </w:tc>
        <w:tc>
          <w:tcPr>
            <w:tcW w:w="5112" w:type="dxa"/>
            <w:tcMar>
              <w:top w:w="80" w:type="dxa"/>
              <w:left w:w="80" w:type="dxa"/>
              <w:bottom w:w="80" w:type="dxa"/>
              <w:right w:w="80" w:type="dxa"/>
            </w:tcMar>
            <w:vAlign w:val="center"/>
          </w:tcPr>
          <w:p w14:paraId="61B94C97">
            <w:pPr>
              <w:spacing w:after="0" w:line="240" w:lineRule="auto"/>
            </w:pPr>
            <w:r>
              <w:rPr>
                <w:rFonts w:ascii="Aptos" w:hAnsi="Aptos"/>
                <w:b w:val="0"/>
                <w:color w:val="222222"/>
                <w:sz w:val="18"/>
              </w:rPr>
              <w:t>Treat the raw field as text initially, normalize whitespace, convert to numeric, and document the decision for the 11 tenure-zero entries.</w:t>
            </w:r>
          </w:p>
        </w:tc>
      </w:tr>
      <w:tr w14:paraId="4AAD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45663453">
            <w:pPr>
              <w:spacing w:after="0" w:line="240" w:lineRule="auto"/>
            </w:pPr>
            <w:r>
              <w:rPr>
                <w:rFonts w:ascii="Aptos" w:hAnsi="Aptos"/>
                <w:b w:val="0"/>
                <w:color w:val="222222"/>
                <w:sz w:val="18"/>
              </w:rPr>
              <w:t>Categorical encoding</w:t>
            </w:r>
          </w:p>
        </w:tc>
        <w:tc>
          <w:tcPr>
            <w:tcW w:w="5112" w:type="dxa"/>
            <w:tcMar>
              <w:top w:w="80" w:type="dxa"/>
              <w:left w:w="80" w:type="dxa"/>
              <w:bottom w:w="80" w:type="dxa"/>
              <w:right w:w="80" w:type="dxa"/>
            </w:tcMar>
            <w:vAlign w:val="center"/>
          </w:tcPr>
          <w:p w14:paraId="5F15EF38">
            <w:pPr>
              <w:spacing w:after="0" w:line="240" w:lineRule="auto"/>
            </w:pPr>
            <w:r>
              <w:rPr>
                <w:rFonts w:ascii="Aptos" w:hAnsi="Aptos"/>
                <w:b w:val="0"/>
                <w:color w:val="222222"/>
                <w:sz w:val="18"/>
              </w:rPr>
              <w:t>Preserve the raw category semantics during data understanding. Any encoding decision must be made in the preparation stage and documented.</w:t>
            </w:r>
          </w:p>
        </w:tc>
      </w:tr>
      <w:tr w14:paraId="7B09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74CEAC0B">
            <w:pPr>
              <w:spacing w:after="0" w:line="240" w:lineRule="auto"/>
            </w:pPr>
            <w:r>
              <w:rPr>
                <w:rFonts w:ascii="Aptos" w:hAnsi="Aptos"/>
                <w:b w:val="0"/>
                <w:color w:val="222222"/>
                <w:sz w:val="18"/>
              </w:rPr>
              <w:t>Train/test separation</w:t>
            </w:r>
          </w:p>
        </w:tc>
        <w:tc>
          <w:tcPr>
            <w:tcW w:w="5112" w:type="dxa"/>
            <w:tcMar>
              <w:top w:w="80" w:type="dxa"/>
              <w:left w:w="80" w:type="dxa"/>
              <w:bottom w:w="80" w:type="dxa"/>
              <w:right w:w="80" w:type="dxa"/>
            </w:tcMar>
            <w:vAlign w:val="center"/>
          </w:tcPr>
          <w:p w14:paraId="0D5B28CA">
            <w:pPr>
              <w:spacing w:after="0" w:line="240" w:lineRule="auto"/>
            </w:pPr>
            <w:r>
              <w:rPr>
                <w:rFonts w:ascii="Aptos" w:hAnsi="Aptos"/>
                <w:b w:val="0"/>
                <w:color w:val="222222"/>
                <w:sz w:val="18"/>
              </w:rPr>
              <w:t>Prevent information from the test set from influencing preprocessing decisions or model tuning.</w:t>
            </w:r>
          </w:p>
        </w:tc>
      </w:tr>
      <w:tr w14:paraId="261C1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100A68E4">
            <w:pPr>
              <w:spacing w:after="0" w:line="240" w:lineRule="auto"/>
            </w:pPr>
            <w:r>
              <w:rPr>
                <w:rFonts w:ascii="Aptos" w:hAnsi="Aptos"/>
                <w:b w:val="0"/>
                <w:color w:val="222222"/>
                <w:sz w:val="18"/>
              </w:rPr>
              <w:t>Leakage control</w:t>
            </w:r>
          </w:p>
        </w:tc>
        <w:tc>
          <w:tcPr>
            <w:tcW w:w="5112" w:type="dxa"/>
            <w:tcMar>
              <w:top w:w="80" w:type="dxa"/>
              <w:left w:w="80" w:type="dxa"/>
              <w:bottom w:w="80" w:type="dxa"/>
              <w:right w:w="80" w:type="dxa"/>
            </w:tcMar>
            <w:vAlign w:val="center"/>
          </w:tcPr>
          <w:p w14:paraId="04C72CD1">
            <w:pPr>
              <w:spacing w:after="0" w:line="240" w:lineRule="auto"/>
            </w:pPr>
            <w:r>
              <w:rPr>
                <w:rFonts w:ascii="Aptos" w:hAnsi="Aptos"/>
                <w:b w:val="0"/>
                <w:color w:val="222222"/>
                <w:sz w:val="18"/>
              </w:rPr>
              <w:t>Before modelling, review whether any field contains information that would not be available at the time a retention prediction is supposed to be made.</w:t>
            </w:r>
          </w:p>
        </w:tc>
      </w:tr>
      <w:tr w14:paraId="1095F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152CFC72">
            <w:pPr>
              <w:spacing w:after="0" w:line="240" w:lineRule="auto"/>
            </w:pPr>
            <w:r>
              <w:rPr>
                <w:rFonts w:ascii="Aptos" w:hAnsi="Aptos"/>
                <w:b w:val="0"/>
                <w:color w:val="222222"/>
                <w:sz w:val="18"/>
              </w:rPr>
              <w:t>Reproducibility</w:t>
            </w:r>
          </w:p>
        </w:tc>
        <w:tc>
          <w:tcPr>
            <w:tcW w:w="5112" w:type="dxa"/>
            <w:tcMar>
              <w:top w:w="80" w:type="dxa"/>
              <w:left w:w="80" w:type="dxa"/>
              <w:bottom w:w="80" w:type="dxa"/>
              <w:right w:w="80" w:type="dxa"/>
            </w:tcMar>
            <w:vAlign w:val="center"/>
          </w:tcPr>
          <w:p w14:paraId="07919826">
            <w:pPr>
              <w:spacing w:after="0" w:line="240" w:lineRule="auto"/>
            </w:pPr>
            <w:r>
              <w:rPr>
                <w:rFonts w:ascii="Aptos" w:hAnsi="Aptos"/>
                <w:b w:val="0"/>
                <w:color w:val="222222"/>
                <w:sz w:val="18"/>
              </w:rPr>
              <w:t>Every transformation used for model inputs must be reproducible from the raw dataset through a controlled pipeline.</w:t>
            </w:r>
          </w:p>
        </w:tc>
      </w:tr>
      <w:tr w14:paraId="16840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555F1D63">
            <w:pPr>
              <w:spacing w:after="0" w:line="240" w:lineRule="auto"/>
            </w:pPr>
            <w:r>
              <w:rPr>
                <w:rFonts w:ascii="Aptos" w:hAnsi="Aptos"/>
                <w:b w:val="0"/>
                <w:color w:val="222222"/>
                <w:sz w:val="18"/>
              </w:rPr>
              <w:t>Business language</w:t>
            </w:r>
          </w:p>
        </w:tc>
        <w:tc>
          <w:tcPr>
            <w:tcW w:w="5112" w:type="dxa"/>
            <w:tcMar>
              <w:top w:w="80" w:type="dxa"/>
              <w:left w:w="80" w:type="dxa"/>
              <w:bottom w:w="80" w:type="dxa"/>
              <w:right w:w="80" w:type="dxa"/>
            </w:tcMar>
            <w:vAlign w:val="center"/>
          </w:tcPr>
          <w:p w14:paraId="2252941C">
            <w:pPr>
              <w:spacing w:after="0" w:line="240" w:lineRule="auto"/>
            </w:pPr>
            <w:r>
              <w:rPr>
                <w:rFonts w:ascii="Aptos" w:hAnsi="Aptos"/>
                <w:b w:val="0"/>
                <w:color w:val="222222"/>
                <w:sz w:val="18"/>
              </w:rPr>
              <w:t>Every technical transformation should have a plain-language explanation that the BA, PM and Product Manager can understand.</w:t>
            </w:r>
          </w:p>
        </w:tc>
      </w:tr>
    </w:tbl>
    <w:p w14:paraId="5C5FC240">
      <w:pPr>
        <w:pStyle w:val="2"/>
        <w:spacing w:line="259" w:lineRule="auto"/>
      </w:pPr>
      <w:r>
        <w:t>7. Handoff to Data Exploration and Data Preparation</w:t>
      </w:r>
    </w:p>
    <w:p w14:paraId="590ADD6A">
      <w:pPr>
        <w:spacing w:line="259" w:lineRule="auto"/>
      </w:pPr>
      <w:r>
        <w:t>The Data Understanding stage is complete when the team can explain the raw dataset without relying on the person who first inspected it. The following handoff is therefore recorded as the working output for the next stages.</w:t>
      </w:r>
    </w:p>
    <w:p w14:paraId="6B18834A">
      <w:pPr>
        <w:pStyle w:val="23"/>
        <w:spacing w:after="60" w:line="259" w:lineRule="auto"/>
      </w:pPr>
      <w:r>
        <w:t>Data Exploration Lead: use the documented field meanings and target distribution as the baseline for business-question-driven EDA.</w:t>
      </w:r>
    </w:p>
    <w:p w14:paraId="146C0D17">
      <w:pPr>
        <w:pStyle w:val="23"/>
        <w:spacing w:after="60" w:line="259" w:lineRule="auto"/>
      </w:pPr>
      <w:r>
        <w:t>Data Preparation Lead: use the raw-data findings to define the cleaning and preprocessing plan, especially TotalCharges handling, identifier treatment, categorical encoding and leakage checks.</w:t>
      </w:r>
    </w:p>
    <w:p w14:paraId="0BABFB8C">
      <w:pPr>
        <w:pStyle w:val="23"/>
        <w:spacing w:after="60" w:line="259" w:lineRule="auto"/>
      </w:pPr>
      <w:r>
        <w:t>Model Development Lead: do not assume cleaned data is ready until the preparation stage has produced and documented a reproducible pipeline.</w:t>
      </w:r>
    </w:p>
    <w:p w14:paraId="4BE47F9F">
      <w:pPr>
        <w:pStyle w:val="23"/>
        <w:spacing w:after="60" w:line="259" w:lineRule="auto"/>
      </w:pPr>
      <w:r>
        <w:t>Model Evaluation Lead: interpret eventual model errors against the target definition and the business meaning of a missed churner versus an unnecessary churn flag.</w:t>
      </w:r>
    </w:p>
    <w:p w14:paraId="11802AAF">
      <w:pPr>
        <w:pStyle w:val="23"/>
        <w:spacing w:after="60" w:line="259" w:lineRule="auto"/>
      </w:pPr>
      <w:r>
        <w:t>Application/Integration Lead: preserve customerID only for traceability/display and ensure inference inputs undergo the same preprocessing as training data.</w:t>
      </w:r>
    </w:p>
    <w:p w14:paraId="0A7E479D">
      <w:pPr>
        <w:spacing w:line="259" w:lineRule="auto"/>
      </w:pPr>
      <w:r>
        <w:br w:type="page"/>
      </w:r>
    </w:p>
    <w:tbl>
      <w:tblPr>
        <w:tblStyle w:val="12"/>
        <w:tblW w:w="0" w:type="auto"/>
        <w:jc w:val="center"/>
        <w:tblLayout w:type="autofit"/>
        <w:tblCellMar>
          <w:top w:w="0" w:type="dxa"/>
          <w:left w:w="108" w:type="dxa"/>
          <w:bottom w:w="0" w:type="dxa"/>
          <w:right w:w="108" w:type="dxa"/>
        </w:tblCellMar>
      </w:tblPr>
      <w:tblGrid>
        <w:gridCol w:w="10224"/>
      </w:tblGrid>
      <w:tr w14:paraId="33E2EC84">
        <w:trPr>
          <w:jc w:val="center"/>
        </w:trPr>
        <w:tc>
          <w:tcPr>
            <w:tcW w:w="10224" w:type="dxa"/>
            <w:shd w:val="clear" w:color="auto" w:fill="E2F0D9"/>
            <w:tcMar>
              <w:top w:w="140" w:type="dxa"/>
              <w:left w:w="140" w:type="dxa"/>
              <w:bottom w:w="140" w:type="dxa"/>
              <w:right w:w="140" w:type="dxa"/>
            </w:tcMar>
          </w:tcPr>
          <w:p w14:paraId="79C9B6C5">
            <w:pPr>
              <w:spacing w:after="60"/>
            </w:pPr>
            <w:r>
              <w:rPr>
                <w:b/>
                <w:color w:val="17365D"/>
                <w:sz w:val="21"/>
              </w:rPr>
              <w:t>Stage-gate statement</w:t>
            </w:r>
          </w:p>
          <w:p w14:paraId="2CF7B94A">
            <w:pPr>
              <w:spacing w:after="0"/>
            </w:pPr>
            <w:r>
              <w:rPr>
                <w:sz w:val="19"/>
              </w:rPr>
              <w:t>The technical team should move to the next stage only after the handoff has been reviewed by the relevant leads and the key decisions are visible in the shared project documentation.</w:t>
            </w:r>
          </w:p>
        </w:tc>
      </w:tr>
    </w:tbl>
    <w:p w14:paraId="1681BB6C">
      <w:pPr>
        <w:pStyle w:val="2"/>
        <w:spacing w:line="259" w:lineRule="auto"/>
      </w:pPr>
      <w:r>
        <w:t>8. Appendix: Raw Dataset Validation Snapshot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2486D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12" w:type="dxa"/>
            <w:shd w:val="clear" w:color="auto" w:fill="17365D"/>
            <w:tcMar>
              <w:top w:w="80" w:type="dxa"/>
              <w:left w:w="80" w:type="dxa"/>
              <w:bottom w:w="80" w:type="dxa"/>
              <w:right w:w="80" w:type="dxa"/>
            </w:tcMar>
            <w:vAlign w:val="center"/>
          </w:tcPr>
          <w:p w14:paraId="0EF78600">
            <w:pPr>
              <w:spacing w:after="0" w:line="240" w:lineRule="auto"/>
            </w:pPr>
            <w:r>
              <w:rPr>
                <w:rFonts w:ascii="Aptos" w:hAnsi="Aptos"/>
                <w:b/>
                <w:color w:val="FFFFFF"/>
                <w:sz w:val="18"/>
              </w:rPr>
              <w:t>Validation metric</w:t>
            </w:r>
          </w:p>
        </w:tc>
        <w:tc>
          <w:tcPr>
            <w:tcW w:w="5112" w:type="dxa"/>
            <w:shd w:val="clear" w:color="auto" w:fill="17365D"/>
            <w:tcMar>
              <w:top w:w="80" w:type="dxa"/>
              <w:left w:w="80" w:type="dxa"/>
              <w:bottom w:w="80" w:type="dxa"/>
              <w:right w:w="80" w:type="dxa"/>
            </w:tcMar>
            <w:vAlign w:val="center"/>
          </w:tcPr>
          <w:p w14:paraId="7C6C5DDF">
            <w:pPr>
              <w:spacing w:after="0" w:line="240" w:lineRule="auto"/>
            </w:pPr>
            <w:r>
              <w:rPr>
                <w:rFonts w:ascii="Aptos" w:hAnsi="Aptos"/>
                <w:b/>
                <w:color w:val="FFFFFF"/>
                <w:sz w:val="18"/>
              </w:rPr>
              <w:t>Observed value</w:t>
            </w:r>
          </w:p>
        </w:tc>
      </w:tr>
      <w:tr w14:paraId="0998F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568A3FDC">
            <w:pPr>
              <w:spacing w:after="0" w:line="240" w:lineRule="auto"/>
            </w:pPr>
            <w:r>
              <w:rPr>
                <w:rFonts w:ascii="Aptos" w:hAnsi="Aptos"/>
                <w:b w:val="0"/>
                <w:color w:val="222222"/>
                <w:sz w:val="18"/>
              </w:rPr>
              <w:t>Record count</w:t>
            </w:r>
          </w:p>
        </w:tc>
        <w:tc>
          <w:tcPr>
            <w:tcW w:w="5112" w:type="dxa"/>
            <w:tcMar>
              <w:top w:w="80" w:type="dxa"/>
              <w:left w:w="80" w:type="dxa"/>
              <w:bottom w:w="80" w:type="dxa"/>
              <w:right w:w="80" w:type="dxa"/>
            </w:tcMar>
            <w:vAlign w:val="center"/>
          </w:tcPr>
          <w:p w14:paraId="11030F0E">
            <w:pPr>
              <w:spacing w:after="0" w:line="240" w:lineRule="auto"/>
            </w:pPr>
            <w:r>
              <w:rPr>
                <w:rFonts w:ascii="Aptos" w:hAnsi="Aptos"/>
                <w:b w:val="0"/>
                <w:color w:val="222222"/>
                <w:sz w:val="18"/>
              </w:rPr>
              <w:t>7,043</w:t>
            </w:r>
          </w:p>
        </w:tc>
      </w:tr>
      <w:tr w14:paraId="35A6F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1B94E3CE">
            <w:pPr>
              <w:spacing w:after="0" w:line="240" w:lineRule="auto"/>
            </w:pPr>
            <w:r>
              <w:rPr>
                <w:rFonts w:ascii="Aptos" w:hAnsi="Aptos"/>
                <w:b w:val="0"/>
                <w:color w:val="222222"/>
                <w:sz w:val="18"/>
              </w:rPr>
              <w:t>Column count</w:t>
            </w:r>
          </w:p>
        </w:tc>
        <w:tc>
          <w:tcPr>
            <w:tcW w:w="5112" w:type="dxa"/>
            <w:tcMar>
              <w:top w:w="80" w:type="dxa"/>
              <w:left w:w="80" w:type="dxa"/>
              <w:bottom w:w="80" w:type="dxa"/>
              <w:right w:w="80" w:type="dxa"/>
            </w:tcMar>
            <w:vAlign w:val="center"/>
          </w:tcPr>
          <w:p w14:paraId="53ECACE9">
            <w:pPr>
              <w:spacing w:after="0" w:line="240" w:lineRule="auto"/>
            </w:pPr>
            <w:r>
              <w:rPr>
                <w:rFonts w:ascii="Aptos" w:hAnsi="Aptos"/>
                <w:b w:val="0"/>
                <w:color w:val="222222"/>
                <w:sz w:val="18"/>
              </w:rPr>
              <w:t>21</w:t>
            </w:r>
          </w:p>
        </w:tc>
      </w:tr>
      <w:tr w14:paraId="4AC06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734F84AC">
            <w:pPr>
              <w:spacing w:after="0" w:line="240" w:lineRule="auto"/>
            </w:pPr>
            <w:r>
              <w:rPr>
                <w:rFonts w:ascii="Aptos" w:hAnsi="Aptos"/>
                <w:b w:val="0"/>
                <w:color w:val="222222"/>
                <w:sz w:val="18"/>
              </w:rPr>
              <w:t>Unique customer IDs</w:t>
            </w:r>
          </w:p>
        </w:tc>
        <w:tc>
          <w:tcPr>
            <w:tcW w:w="5112" w:type="dxa"/>
            <w:tcMar>
              <w:top w:w="80" w:type="dxa"/>
              <w:left w:w="80" w:type="dxa"/>
              <w:bottom w:w="80" w:type="dxa"/>
              <w:right w:w="80" w:type="dxa"/>
            </w:tcMar>
            <w:vAlign w:val="center"/>
          </w:tcPr>
          <w:p w14:paraId="1FEDA933">
            <w:pPr>
              <w:spacing w:after="0" w:line="240" w:lineRule="auto"/>
            </w:pPr>
            <w:r>
              <w:rPr>
                <w:rFonts w:ascii="Aptos" w:hAnsi="Aptos"/>
                <w:b w:val="0"/>
                <w:color w:val="222222"/>
                <w:sz w:val="18"/>
              </w:rPr>
              <w:t>7043</w:t>
            </w:r>
          </w:p>
        </w:tc>
      </w:tr>
      <w:tr w14:paraId="5F2B9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6DD1E616">
            <w:pPr>
              <w:spacing w:after="0" w:line="240" w:lineRule="auto"/>
            </w:pPr>
            <w:r>
              <w:rPr>
                <w:rFonts w:ascii="Aptos" w:hAnsi="Aptos"/>
                <w:b w:val="0"/>
                <w:color w:val="222222"/>
                <w:sz w:val="18"/>
              </w:rPr>
              <w:t>Exact duplicate rows</w:t>
            </w:r>
          </w:p>
        </w:tc>
        <w:tc>
          <w:tcPr>
            <w:tcW w:w="5112" w:type="dxa"/>
            <w:tcMar>
              <w:top w:w="80" w:type="dxa"/>
              <w:left w:w="80" w:type="dxa"/>
              <w:bottom w:w="80" w:type="dxa"/>
              <w:right w:w="80" w:type="dxa"/>
            </w:tcMar>
            <w:vAlign w:val="center"/>
          </w:tcPr>
          <w:p w14:paraId="6EA036C3">
            <w:pPr>
              <w:spacing w:after="0" w:line="240" w:lineRule="auto"/>
            </w:pPr>
            <w:r>
              <w:rPr>
                <w:rFonts w:ascii="Aptos" w:hAnsi="Aptos"/>
                <w:b w:val="0"/>
                <w:color w:val="222222"/>
                <w:sz w:val="18"/>
              </w:rPr>
              <w:t>0</w:t>
            </w:r>
          </w:p>
        </w:tc>
      </w:tr>
      <w:tr w14:paraId="69E2F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313BE5A9">
            <w:pPr>
              <w:spacing w:after="0" w:line="240" w:lineRule="auto"/>
            </w:pPr>
            <w:r>
              <w:rPr>
                <w:rFonts w:ascii="Aptos" w:hAnsi="Aptos"/>
                <w:b w:val="0"/>
                <w:color w:val="222222"/>
                <w:sz w:val="18"/>
              </w:rPr>
              <w:t>Rows with whitespace-only TotalCharges</w:t>
            </w:r>
          </w:p>
        </w:tc>
        <w:tc>
          <w:tcPr>
            <w:tcW w:w="5112" w:type="dxa"/>
            <w:tcMar>
              <w:top w:w="80" w:type="dxa"/>
              <w:left w:w="80" w:type="dxa"/>
              <w:bottom w:w="80" w:type="dxa"/>
              <w:right w:w="80" w:type="dxa"/>
            </w:tcMar>
            <w:vAlign w:val="center"/>
          </w:tcPr>
          <w:p w14:paraId="36CDF6C2">
            <w:pPr>
              <w:spacing w:after="0" w:line="240" w:lineRule="auto"/>
            </w:pPr>
            <w:r>
              <w:rPr>
                <w:rFonts w:ascii="Aptos" w:hAnsi="Aptos"/>
                <w:b w:val="0"/>
                <w:color w:val="222222"/>
                <w:sz w:val="18"/>
              </w:rPr>
              <w:t>11</w:t>
            </w:r>
          </w:p>
        </w:tc>
      </w:tr>
      <w:tr w14:paraId="43020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5A24D041">
            <w:pPr>
              <w:spacing w:after="0" w:line="240" w:lineRule="auto"/>
            </w:pPr>
            <w:r>
              <w:rPr>
                <w:rFonts w:ascii="Aptos" w:hAnsi="Aptos"/>
                <w:b w:val="0"/>
                <w:color w:val="222222"/>
                <w:sz w:val="18"/>
              </w:rPr>
              <w:t>TotalCharges raw dtype</w:t>
            </w:r>
          </w:p>
        </w:tc>
        <w:tc>
          <w:tcPr>
            <w:tcW w:w="5112" w:type="dxa"/>
            <w:tcMar>
              <w:top w:w="80" w:type="dxa"/>
              <w:left w:w="80" w:type="dxa"/>
              <w:bottom w:w="80" w:type="dxa"/>
              <w:right w:w="80" w:type="dxa"/>
            </w:tcMar>
            <w:vAlign w:val="center"/>
          </w:tcPr>
          <w:p w14:paraId="38CB1E7C">
            <w:pPr>
              <w:spacing w:after="0" w:line="240" w:lineRule="auto"/>
            </w:pPr>
            <w:r>
              <w:rPr>
                <w:rFonts w:ascii="Aptos" w:hAnsi="Aptos"/>
                <w:b w:val="0"/>
                <w:color w:val="222222"/>
                <w:sz w:val="18"/>
              </w:rPr>
              <w:t>object</w:t>
            </w:r>
          </w:p>
        </w:tc>
      </w:tr>
      <w:tr w14:paraId="4B99A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0D11DF32">
            <w:pPr>
              <w:spacing w:after="0" w:line="240" w:lineRule="auto"/>
            </w:pPr>
            <w:r>
              <w:rPr>
                <w:rFonts w:ascii="Aptos" w:hAnsi="Aptos"/>
                <w:b w:val="0"/>
                <w:color w:val="222222"/>
                <w:sz w:val="18"/>
              </w:rPr>
              <w:t>MonthlyCharges raw dtype</w:t>
            </w:r>
          </w:p>
        </w:tc>
        <w:tc>
          <w:tcPr>
            <w:tcW w:w="5112" w:type="dxa"/>
            <w:tcMar>
              <w:top w:w="80" w:type="dxa"/>
              <w:left w:w="80" w:type="dxa"/>
              <w:bottom w:w="80" w:type="dxa"/>
              <w:right w:w="80" w:type="dxa"/>
            </w:tcMar>
            <w:vAlign w:val="center"/>
          </w:tcPr>
          <w:p w14:paraId="73BB27C3">
            <w:pPr>
              <w:spacing w:after="0" w:line="240" w:lineRule="auto"/>
            </w:pPr>
            <w:r>
              <w:rPr>
                <w:rFonts w:ascii="Aptos" w:hAnsi="Aptos"/>
                <w:b w:val="0"/>
                <w:color w:val="222222"/>
                <w:sz w:val="18"/>
              </w:rPr>
              <w:t>float64</w:t>
            </w:r>
          </w:p>
        </w:tc>
      </w:tr>
      <w:tr w14:paraId="1AEC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449FB267">
            <w:pPr>
              <w:spacing w:after="0" w:line="240" w:lineRule="auto"/>
            </w:pPr>
            <w:r>
              <w:rPr>
                <w:rFonts w:ascii="Aptos" w:hAnsi="Aptos"/>
                <w:b w:val="0"/>
                <w:color w:val="222222"/>
                <w:sz w:val="18"/>
              </w:rPr>
              <w:t>tenure range</w:t>
            </w:r>
          </w:p>
        </w:tc>
        <w:tc>
          <w:tcPr>
            <w:tcW w:w="5112" w:type="dxa"/>
            <w:tcMar>
              <w:top w:w="80" w:type="dxa"/>
              <w:left w:w="80" w:type="dxa"/>
              <w:bottom w:w="80" w:type="dxa"/>
              <w:right w:w="80" w:type="dxa"/>
            </w:tcMar>
            <w:vAlign w:val="center"/>
          </w:tcPr>
          <w:p w14:paraId="72A1C483">
            <w:pPr>
              <w:spacing w:after="0" w:line="240" w:lineRule="auto"/>
            </w:pPr>
            <w:r>
              <w:rPr>
                <w:rFonts w:ascii="Aptos" w:hAnsi="Aptos"/>
                <w:b w:val="0"/>
                <w:color w:val="222222"/>
                <w:sz w:val="18"/>
              </w:rPr>
              <w:t>0–72 months</w:t>
            </w:r>
          </w:p>
        </w:tc>
      </w:tr>
      <w:tr w14:paraId="74DD3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60674B62">
            <w:pPr>
              <w:spacing w:after="0" w:line="240" w:lineRule="auto"/>
            </w:pPr>
            <w:r>
              <w:rPr>
                <w:rFonts w:ascii="Aptos" w:hAnsi="Aptos"/>
                <w:b w:val="0"/>
                <w:color w:val="222222"/>
                <w:sz w:val="18"/>
              </w:rPr>
              <w:t>Churn No</w:t>
            </w:r>
          </w:p>
        </w:tc>
        <w:tc>
          <w:tcPr>
            <w:tcW w:w="5112" w:type="dxa"/>
            <w:tcMar>
              <w:top w:w="80" w:type="dxa"/>
              <w:left w:w="80" w:type="dxa"/>
              <w:bottom w:w="80" w:type="dxa"/>
              <w:right w:w="80" w:type="dxa"/>
            </w:tcMar>
            <w:vAlign w:val="center"/>
          </w:tcPr>
          <w:p w14:paraId="67B7EE4B">
            <w:pPr>
              <w:spacing w:after="0" w:line="240" w:lineRule="auto"/>
            </w:pPr>
            <w:r>
              <w:rPr>
                <w:rFonts w:ascii="Aptos" w:hAnsi="Aptos"/>
                <w:b w:val="0"/>
                <w:color w:val="222222"/>
                <w:sz w:val="18"/>
              </w:rPr>
              <w:t>5,174</w:t>
            </w:r>
          </w:p>
        </w:tc>
      </w:tr>
      <w:tr w14:paraId="07817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80" w:type="dxa"/>
              <w:left w:w="80" w:type="dxa"/>
              <w:bottom w:w="80" w:type="dxa"/>
              <w:right w:w="80" w:type="dxa"/>
            </w:tcMar>
            <w:vAlign w:val="center"/>
          </w:tcPr>
          <w:p w14:paraId="7231776D">
            <w:pPr>
              <w:spacing w:after="0" w:line="240" w:lineRule="auto"/>
            </w:pPr>
            <w:r>
              <w:rPr>
                <w:rFonts w:ascii="Aptos" w:hAnsi="Aptos"/>
                <w:b w:val="0"/>
                <w:color w:val="222222"/>
                <w:sz w:val="18"/>
              </w:rPr>
              <w:t>Churn Yes</w:t>
            </w:r>
          </w:p>
        </w:tc>
        <w:tc>
          <w:tcPr>
            <w:tcW w:w="5112" w:type="dxa"/>
            <w:tcMar>
              <w:top w:w="80" w:type="dxa"/>
              <w:left w:w="80" w:type="dxa"/>
              <w:bottom w:w="80" w:type="dxa"/>
              <w:right w:w="80" w:type="dxa"/>
            </w:tcMar>
            <w:vAlign w:val="center"/>
          </w:tcPr>
          <w:p w14:paraId="5AC8F43E">
            <w:pPr>
              <w:spacing w:after="0" w:line="240" w:lineRule="auto"/>
            </w:pPr>
            <w:r>
              <w:rPr>
                <w:rFonts w:ascii="Aptos" w:hAnsi="Aptos"/>
                <w:b w:val="0"/>
                <w:color w:val="222222"/>
                <w:sz w:val="18"/>
              </w:rPr>
              <w:t>1,869</w:t>
            </w:r>
          </w:p>
        </w:tc>
      </w:tr>
    </w:tbl>
    <w:p w14:paraId="59BC97DD">
      <w:pPr>
        <w:pStyle w:val="164"/>
        <w:spacing w:line="259" w:lineRule="auto"/>
      </w:pPr>
      <w:bookmarkStart w:id="0" w:name="_GoBack"/>
      <w:bookmarkEnd w:id="0"/>
      <w:r>
        <w:t>.</w:t>
      </w:r>
    </w:p>
    <w:p w14:paraId="0E732A22">
      <w:pPr>
        <w:pStyle w:val="2"/>
        <w:spacing w:line="259" w:lineRule="auto"/>
      </w:pPr>
      <w:r>
        <w:t>9. Source References</w:t>
      </w:r>
    </w:p>
    <w:p w14:paraId="6EAE163B">
      <w:pPr>
        <w:pStyle w:val="23"/>
        <w:spacing w:after="60" w:line="259" w:lineRule="auto"/>
      </w:pPr>
      <w:r>
        <w:t>Group 2 Project Brief — Telecom Customer Churn, ICBM Technical Bootcamp 2026. The brief assigns Madu Miracle Kosi as Data Understanding Lead and defines the required handoff deliverable.</w:t>
      </w:r>
    </w:p>
    <w:p w14:paraId="2633E828">
      <w:pPr>
        <w:pStyle w:val="23"/>
        <w:spacing w:after="60" w:line="259" w:lineRule="auto"/>
      </w:pPr>
      <w:r>
        <w:t>Customer_churn.csv — supplied group project dataset used for the raw schema and quality assessment in this document.</w:t>
      </w:r>
    </w:p>
    <w:tbl>
      <w:tblPr>
        <w:tblStyle w:val="12"/>
        <w:tblW w:w="0" w:type="auto"/>
        <w:jc w:val="center"/>
        <w:tblLayout w:type="autofit"/>
        <w:tblCellMar>
          <w:top w:w="0" w:type="dxa"/>
          <w:left w:w="108" w:type="dxa"/>
          <w:bottom w:w="0" w:type="dxa"/>
          <w:right w:w="108" w:type="dxa"/>
        </w:tblCellMar>
      </w:tblPr>
      <w:tblGrid>
        <w:gridCol w:w="10224"/>
      </w:tblGrid>
      <w:tr w14:paraId="626D1CD4">
        <w:tblPrEx>
          <w:tblCellMar>
            <w:top w:w="0" w:type="dxa"/>
            <w:left w:w="108" w:type="dxa"/>
            <w:bottom w:w="0" w:type="dxa"/>
            <w:right w:w="108" w:type="dxa"/>
          </w:tblCellMar>
        </w:tblPrEx>
        <w:trPr>
          <w:jc w:val="center"/>
        </w:trPr>
        <w:tc>
          <w:tcPr>
            <w:tcW w:w="10224" w:type="dxa"/>
            <w:shd w:val="clear" w:color="auto" w:fill="D9EAD3"/>
            <w:tcMar>
              <w:top w:w="140" w:type="dxa"/>
              <w:left w:w="140" w:type="dxa"/>
              <w:bottom w:w="140" w:type="dxa"/>
              <w:right w:w="140" w:type="dxa"/>
            </w:tcMar>
          </w:tcPr>
          <w:p w14:paraId="3D55EF0D">
            <w:pPr>
              <w:spacing w:after="60"/>
            </w:pPr>
            <w:r>
              <w:rPr>
                <w:b/>
                <w:color w:val="17365D"/>
                <w:sz w:val="21"/>
              </w:rPr>
              <w:t>Deliverable status</w:t>
            </w:r>
          </w:p>
          <w:p w14:paraId="370018C0">
            <w:pPr>
              <w:spacing w:after="0"/>
            </w:pPr>
            <w:r>
              <w:rPr>
                <w:sz w:val="19"/>
              </w:rPr>
              <w:t>COMPLETE — This document records the dataset summary, raw-data assessment and shared explanation of the important customer fields presented to and reviewed with the project team.</w:t>
            </w:r>
          </w:p>
        </w:tc>
      </w:tr>
    </w:tbl>
    <w:p w14:paraId="7516506F"/>
    <w:sectPr>
      <w:headerReference r:id="rId5" w:type="default"/>
      <w:footerReference r:id="rId6" w:type="default"/>
      <w:pgSz w:w="12240" w:h="15840"/>
      <w:pgMar w:top="1008" w:right="1008" w:bottom="1008"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CaskaydiaCove NF"/>
    <w:panose1 w:val="00000000000000000000"/>
    <w:charset w:val="00"/>
    <w:family w:val="auto"/>
    <w:pitch w:val="default"/>
    <w:sig w:usb0="00000000" w:usb1="00000000" w:usb2="00000000" w:usb3="00000000" w:csb0="00000000" w:csb1="00000000"/>
  </w:font>
  <w:font w:name="CaskaydiaCove NF">
    <w:panose1 w:val="02000009000000000000"/>
    <w:charset w:val="00"/>
    <w:family w:val="auto"/>
    <w:pitch w:val="default"/>
    <w:sig w:usb0="A1002AFF" w:usb1="C200F9FB" w:usb2="00040020" w:usb3="00000000" w:csb0="600001FF" w:csb1="FFFF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2EBCC">
    <w:pPr>
      <w:pStyle w:val="18"/>
      <w:jc w:val="center"/>
    </w:pPr>
    <w:r>
      <w:rPr>
        <w:color w:val="777777"/>
        <w:sz w:val="16"/>
      </w:rPr>
      <w:t>Data Understanding Deliverable | Madu Miracle Kosi | Group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B86B3">
    <w:pPr>
      <w:pStyle w:val="19"/>
      <w:jc w:val="right"/>
    </w:pPr>
    <w:r>
      <w:rPr>
        <w:b/>
        <w:color w:val="5B7C99"/>
        <w:sz w:val="16"/>
      </w:rPr>
      <w:t>GROUP 2 | TELECOM CUSTOMER CHURN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D657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5"/>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3F6B8C"/>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5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Note"/>
    <w:qFormat/>
    <w:uiPriority w:val="0"/>
    <w:pPr>
      <w:spacing w:after="200" w:line="276" w:lineRule="auto"/>
    </w:pPr>
    <w:rPr>
      <w:rFonts w:ascii="Aptos" w:hAnsi="Aptos" w:eastAsiaTheme="minorEastAsia" w:cstheme="minorBidi"/>
      <w:color w:val="666666"/>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2126</Words>
  <Characters>12895</Characters>
  <Lines>0</Lines>
  <Paragraphs>0</Paragraphs>
  <TotalTime>52</TotalTime>
  <ScaleCrop>false</ScaleCrop>
  <LinksUpToDate>false</LinksUpToDate>
  <CharactersWithSpaces>14740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Group 2 Technical Team</dc:creator>
  <dc:description>generated by python-docx</dc:description>
  <cp:keywords>Telecom Churn, Data Understanding, Dataset Summary, Raw Data Assessment</cp:keywords>
  <cp:lastModifiedBy>Miracle Kosi</cp:lastModifiedBy>
  <dcterms:modified xsi:type="dcterms:W3CDTF">2026-08-17T12:17:10Z</dcterms:modified>
  <dc:subject>Dataset summary, raw-data assessment and shared customer field definitions</dc:subject>
  <dc:title>Group 2 Data Understanding Deliverable - Telecom Customer Churn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eyJoZGlkIjoiODFmOGU0Y2M5OGJkMDMyNjM3YmE0MGNlNjQ5MmFhOTAiLCJ1c2VySWQiOiIyNzY2MjQyMzEyOTI0In0=</vt:lpwstr>
  </property>
  <property fmtid="{D5CDD505-2E9C-101B-9397-08002B2CF9AE}" pid="3" name="KSOProductBuildVer">
    <vt:lpwstr>1033-12.1.0.28032</vt:lpwstr>
  </property>
  <property fmtid="{D5CDD505-2E9C-101B-9397-08002B2CF9AE}" pid="4" name="ICV">
    <vt:lpwstr>833EADBF4EDC4F87921D9E8CA2C65ABF_12</vt:lpwstr>
  </property>
</Properties>
</file>