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04229">
      <w:pPr>
        <w:spacing w:after="60"/>
      </w:pPr>
      <w:r>
        <w:rPr>
          <w:rFonts w:ascii="Calibri" w:hAnsi="Calibri" w:eastAsia="Calibri" w:cs="Calibri"/>
          <w:b/>
          <w:bCs/>
          <w:color w:val="1F4E79"/>
          <w:sz w:val="40"/>
          <w:szCs w:val="40"/>
        </w:rPr>
        <w:t>STAGE HANDOFF DOCUMENT</w:t>
      </w:r>
    </w:p>
    <w:p w14:paraId="137DB7A0">
      <w:pPr>
        <w:spacing w:after="240"/>
      </w:pPr>
      <w:r>
        <w:rPr>
          <w:rFonts w:ascii="Calibri" w:hAnsi="Calibri" w:eastAsia="Calibri" w:cs="Calibri"/>
          <w:i/>
          <w:iCs/>
          <w:color w:val="595959"/>
          <w:sz w:val="24"/>
          <w:szCs w:val="24"/>
        </w:rPr>
        <w:t>Group 2 — Telecom Customer Churn Project</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300"/>
      </w:tblGrid>
      <w:tr w14:paraId="0DDB0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Pr>
          <w:p w14:paraId="047AEF12">
            <w:r>
              <w:rPr>
                <w:rFonts w:ascii="Calibri" w:hAnsi="Calibri" w:eastAsia="Calibri" w:cs="Calibri"/>
                <w:b/>
                <w:bCs/>
                <w:sz w:val="22"/>
                <w:szCs w:val="22"/>
              </w:rPr>
              <w:t>Handoff stage</w:t>
            </w:r>
          </w:p>
        </w:tc>
        <w:tc>
          <w:tcPr>
            <w:tcW w:w="7300" w:type="dxa"/>
          </w:tcPr>
          <w:p w14:paraId="722C0BBA">
            <w:r>
              <w:rPr>
                <w:rFonts w:ascii="Calibri" w:hAnsi="Calibri" w:eastAsia="Calibri" w:cs="Calibri"/>
                <w:sz w:val="22"/>
                <w:szCs w:val="22"/>
              </w:rPr>
              <w:t>Data Exploration</w:t>
            </w:r>
            <w:r>
              <w:rPr>
                <w:rFonts w:hint="default" w:ascii="Calibri" w:hAnsi="Calibri" w:eastAsia="Calibri" w:cs="Calibri"/>
                <w:sz w:val="22"/>
                <w:szCs w:val="22"/>
                <w:lang w:val="en-US"/>
              </w:rPr>
              <w:t xml:space="preserve"> </w:t>
            </w:r>
            <w:r>
              <w:rPr>
                <w:rFonts w:ascii="Calibri" w:hAnsi="Calibri" w:eastAsia="Calibri" w:cs="Calibri"/>
                <w:sz w:val="22"/>
                <w:szCs w:val="22"/>
              </w:rPr>
              <w:t>→ Data Preparation</w:t>
            </w:r>
          </w:p>
        </w:tc>
      </w:tr>
      <w:tr w14:paraId="6205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Pr>
          <w:p w14:paraId="74A26ADC">
            <w:r>
              <w:rPr>
                <w:rFonts w:ascii="Calibri" w:hAnsi="Calibri" w:eastAsia="Calibri" w:cs="Calibri"/>
                <w:b/>
                <w:bCs/>
                <w:sz w:val="22"/>
                <w:szCs w:val="22"/>
              </w:rPr>
              <w:t>From (lead)</w:t>
            </w:r>
          </w:p>
        </w:tc>
        <w:tc>
          <w:tcPr>
            <w:tcW w:w="7300" w:type="dxa"/>
          </w:tcPr>
          <w:p w14:paraId="36B454DC">
            <w:r>
              <w:rPr>
                <w:rFonts w:ascii="Calibri" w:hAnsi="Calibri" w:eastAsia="Calibri" w:cs="Calibri"/>
                <w:sz w:val="22"/>
                <w:szCs w:val="22"/>
              </w:rPr>
              <w:t>Terhemba Jason Ierve — Data Exploration Lead</w:t>
            </w:r>
          </w:p>
        </w:tc>
      </w:tr>
      <w:tr w14:paraId="6975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Pr>
          <w:p w14:paraId="019350DB">
            <w:r>
              <w:rPr>
                <w:rFonts w:ascii="Calibri" w:hAnsi="Calibri" w:eastAsia="Calibri" w:cs="Calibri"/>
                <w:b/>
                <w:bCs/>
                <w:sz w:val="22"/>
                <w:szCs w:val="22"/>
              </w:rPr>
              <w:t>To (lead)</w:t>
            </w:r>
          </w:p>
        </w:tc>
        <w:tc>
          <w:tcPr>
            <w:tcW w:w="7300" w:type="dxa"/>
          </w:tcPr>
          <w:p w14:paraId="23DAE90E">
            <w:r>
              <w:rPr>
                <w:rFonts w:ascii="Calibri" w:hAnsi="Calibri" w:eastAsia="Calibri" w:cs="Calibri"/>
                <w:sz w:val="22"/>
                <w:szCs w:val="22"/>
              </w:rPr>
              <w:t>Simon Nnaji — Data Preparation Lead</w:t>
            </w:r>
          </w:p>
        </w:tc>
      </w:tr>
      <w:tr w14:paraId="093B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Pr>
          <w:p w14:paraId="13A2E9A1">
            <w:r>
              <w:rPr>
                <w:rFonts w:ascii="Calibri" w:hAnsi="Calibri" w:eastAsia="Calibri" w:cs="Calibri"/>
                <w:b/>
                <w:bCs/>
                <w:sz w:val="22"/>
                <w:szCs w:val="22"/>
              </w:rPr>
              <w:t>Source notebook</w:t>
            </w:r>
          </w:p>
        </w:tc>
        <w:tc>
          <w:tcPr>
            <w:tcW w:w="7300" w:type="dxa"/>
          </w:tcPr>
          <w:p w14:paraId="5A1A11EC">
            <w:r>
              <w:rPr>
                <w:rFonts w:ascii="Calibri" w:hAnsi="Calibri" w:eastAsia="Calibri" w:cs="Calibri"/>
                <w:sz w:val="22"/>
                <w:szCs w:val="22"/>
              </w:rPr>
              <w:t>Group_2_Exploratory_Data_Analysis.ipynb</w:t>
            </w:r>
          </w:p>
        </w:tc>
      </w:tr>
      <w:tr w14:paraId="32E5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Pr>
          <w:p w14:paraId="59033365">
            <w:r>
              <w:rPr>
                <w:rFonts w:ascii="Calibri" w:hAnsi="Calibri" w:eastAsia="Calibri" w:cs="Calibri"/>
                <w:b/>
                <w:bCs/>
                <w:sz w:val="22"/>
                <w:szCs w:val="22"/>
              </w:rPr>
              <w:t>Dataset</w:t>
            </w:r>
          </w:p>
        </w:tc>
        <w:tc>
          <w:tcPr>
            <w:tcW w:w="7300" w:type="dxa"/>
          </w:tcPr>
          <w:p w14:paraId="48E5AF53">
            <w:r>
              <w:rPr>
                <w:rFonts w:ascii="Calibri" w:hAnsi="Calibri" w:eastAsia="Calibri" w:cs="Calibri"/>
                <w:sz w:val="22"/>
                <w:szCs w:val="22"/>
              </w:rPr>
              <w:t>Customer_churn.csv — IBM Telco Customer Churn sample (7,043 rows, 21 columns)</w:t>
            </w:r>
          </w:p>
        </w:tc>
      </w:tr>
      <w:tr w14:paraId="7A70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Pr>
          <w:p w14:paraId="7421B713">
            <w:r>
              <w:rPr>
                <w:rFonts w:ascii="Calibri" w:hAnsi="Calibri" w:eastAsia="Calibri" w:cs="Calibri"/>
                <w:b/>
                <w:bCs/>
                <w:sz w:val="22"/>
                <w:szCs w:val="22"/>
              </w:rPr>
              <w:t>Status</w:t>
            </w:r>
          </w:p>
        </w:tc>
        <w:tc>
          <w:tcPr>
            <w:tcW w:w="7300" w:type="dxa"/>
          </w:tcPr>
          <w:p w14:paraId="1E5B0F3B">
            <w:r>
              <w:rPr>
                <w:rFonts w:ascii="Calibri" w:hAnsi="Calibri" w:eastAsia="Calibri" w:cs="Calibri"/>
                <w:sz w:val="22"/>
                <w:szCs w:val="22"/>
              </w:rPr>
              <w:t xml:space="preserve">Complete — ready for handoff. Whole team should review before </w:t>
            </w:r>
            <w:r>
              <w:rPr>
                <w:rFonts w:hint="default" w:ascii="Calibri" w:hAnsi="Calibri" w:eastAsia="Calibri" w:cs="Calibri"/>
                <w:sz w:val="22"/>
                <w:szCs w:val="22"/>
                <w:lang w:val="en-US"/>
              </w:rPr>
              <w:t xml:space="preserve">Preparation </w:t>
            </w:r>
            <w:r>
              <w:rPr>
                <w:rFonts w:ascii="Calibri" w:hAnsi="Calibri" w:eastAsia="Calibri" w:cs="Calibri"/>
                <w:sz w:val="22"/>
                <w:szCs w:val="22"/>
              </w:rPr>
              <w:t>begins.</w:t>
            </w:r>
          </w:p>
        </w:tc>
      </w:tr>
    </w:tbl>
    <w:p w14:paraId="4401BE29">
      <w:pPr>
        <w:spacing w:after="200"/>
      </w:pPr>
    </w:p>
    <w:p w14:paraId="5A9711E0">
      <w:pPr>
        <w:spacing w:after="140"/>
      </w:pPr>
      <w:r>
        <w:rPr>
          <w:rFonts w:ascii="Calibri" w:hAnsi="Calibri" w:eastAsia="Calibri" w:cs="Calibri"/>
          <w:i/>
          <w:iCs/>
          <w:color w:val="595959"/>
          <w:sz w:val="22"/>
          <w:szCs w:val="22"/>
        </w:rPr>
        <w:t>Per the project's Teamwork Rule: this document is Jason's first-responsibility summary of the exploration stage, not a boundary around it. Every team member is still expected to understand this content and be able to defend it during presentation or questioning.</w:t>
      </w:r>
    </w:p>
    <w:p w14:paraId="27833C81">
      <w:pPr>
        <w:pStyle w:val="2"/>
        <w:spacing w:before="320" w:after="160"/>
      </w:pPr>
      <w:r>
        <w:t>1 → What Was Done</w:t>
      </w:r>
    </w:p>
    <w:p w14:paraId="398810EF">
      <w:pPr>
        <w:spacing w:after="140"/>
      </w:pPr>
      <w:r>
        <w:rPr>
          <w:rFonts w:ascii="Calibri" w:hAnsi="Calibri" w:eastAsia="Calibri" w:cs="Calibri"/>
          <w:sz w:val="22"/>
          <w:szCs w:val="22"/>
        </w:rPr>
        <w:t>The exploration stage covered the raw dataset end-to-end: initial inspection, univariate analysis of the target, bivariate analysis of every categorical and numeric feature against churn, correlation and multicollinearity checks, and one multivariate segment analysis.</w:t>
      </w:r>
    </w:p>
    <w:p w14:paraId="556EDCB6">
      <w:pPr>
        <w:pStyle w:val="3"/>
        <w:spacing w:before="240" w:after="120"/>
      </w:pPr>
      <w:r>
        <w:t>Setup &amp; Inspection</w:t>
      </w:r>
    </w:p>
    <w:p w14:paraId="3E532C78">
      <w:pPr>
        <w:pStyle w:val="16"/>
        <w:numPr>
          <w:ilvl w:val="0"/>
          <w:numId w:val="1"/>
        </w:numPr>
        <w:spacing w:after="80"/>
      </w:pPr>
      <w:r>
        <w:rPr>
          <w:rFonts w:ascii="Calibri" w:hAnsi="Calibri" w:eastAsia="Calibri" w:cs="Calibri"/>
          <w:sz w:val="22"/>
          <w:szCs w:val="22"/>
        </w:rPr>
        <w:t>Loaded the raw dataset unmodified (7,043 rows × 21 columns) directly from Customer_churn.csv.</w:t>
      </w:r>
    </w:p>
    <w:p w14:paraId="16336D4F">
      <w:pPr>
        <w:pStyle w:val="16"/>
        <w:numPr>
          <w:ilvl w:val="0"/>
          <w:numId w:val="1"/>
        </w:numPr>
        <w:spacing w:after="80"/>
      </w:pPr>
      <w:r>
        <w:rPr>
          <w:rFonts w:ascii="Calibri" w:hAnsi="Calibri" w:eastAsia="Calibri" w:cs="Calibri"/>
          <w:sz w:val="22"/>
          <w:szCs w:val="22"/>
        </w:rPr>
        <w:t>Ran initial inspection: shape, dtypes, df.info(), null check, duplicate customerID check.</w:t>
      </w:r>
    </w:p>
    <w:p w14:paraId="485DC6EC">
      <w:pPr>
        <w:pStyle w:val="16"/>
        <w:numPr>
          <w:ilvl w:val="0"/>
          <w:numId w:val="1"/>
        </w:numPr>
        <w:spacing w:after="80"/>
      </w:pPr>
      <w:r>
        <w:rPr>
          <w:rFonts w:ascii="Calibri" w:hAnsi="Calibri" w:eastAsia="Calibri" w:cs="Calibri"/>
          <w:sz w:val="22"/>
          <w:szCs w:val="22"/>
        </w:rPr>
        <w:t>Built a full data dictionary covering all 21 columns (name, category, description) for the team's shared reference.</w:t>
      </w:r>
    </w:p>
    <w:p w14:paraId="4C8CA312">
      <w:pPr>
        <w:pStyle w:val="16"/>
        <w:numPr>
          <w:ilvl w:val="0"/>
          <w:numId w:val="1"/>
        </w:numPr>
        <w:spacing w:after="80"/>
      </w:pPr>
      <w:r>
        <w:rPr>
          <w:rFonts w:ascii="Calibri" w:hAnsi="Calibri" w:eastAsia="Calibri" w:cs="Calibri"/>
          <w:sz w:val="22"/>
          <w:szCs w:val="22"/>
        </w:rPr>
        <w:t>Investigated the 11 blank TotalCharges values and confirmed all correspond to tenure = 0 (new, unbilled accounts) — not random corruption.</w:t>
      </w:r>
    </w:p>
    <w:p w14:paraId="124283D9">
      <w:pPr>
        <w:pStyle w:val="16"/>
        <w:numPr>
          <w:ilvl w:val="0"/>
          <w:numId w:val="1"/>
        </w:numPr>
        <w:spacing w:after="80"/>
      </w:pPr>
      <w:r>
        <w:rPr>
          <w:rFonts w:ascii="Calibri" w:hAnsi="Calibri" w:eastAsia="Calibri" w:cs="Calibri"/>
          <w:sz w:val="22"/>
          <w:szCs w:val="22"/>
        </w:rPr>
        <w:t>Created a light, exploration-only working copy (df_eda) with TotalCharges coerced to numeric and blanks filled with 0. Raw category labels were deliberately kept (not encoded) so charts stay human-readable.</w:t>
      </w:r>
    </w:p>
    <w:p w14:paraId="0A56D51E">
      <w:pPr>
        <w:pStyle w:val="3"/>
        <w:spacing w:before="240" w:after="120"/>
      </w:pPr>
      <w:r>
        <w:t>Univariate &amp; Bivariate Analysis</w:t>
      </w:r>
    </w:p>
    <w:p w14:paraId="0157AD96">
      <w:pPr>
        <w:pStyle w:val="16"/>
        <w:numPr>
          <w:ilvl w:val="0"/>
          <w:numId w:val="1"/>
        </w:numPr>
        <w:spacing w:after="80"/>
      </w:pPr>
      <w:r>
        <w:rPr>
          <w:rFonts w:ascii="Calibri" w:hAnsi="Calibri" w:eastAsia="Calibri" w:cs="Calibri"/>
          <w:sz w:val="22"/>
          <w:szCs w:val="22"/>
        </w:rPr>
        <w:t>Visualized the target distribution — established the 26.5% baseline churn rate every other finding is compared against.</w:t>
      </w:r>
    </w:p>
    <w:p w14:paraId="52486B8B">
      <w:pPr>
        <w:pStyle w:val="16"/>
        <w:numPr>
          <w:ilvl w:val="0"/>
          <w:numId w:val="1"/>
        </w:numPr>
        <w:spacing w:after="80"/>
      </w:pPr>
      <w:r>
        <w:rPr>
          <w:rFonts w:ascii="Calibri" w:hAnsi="Calibri" w:eastAsia="Calibri" w:cs="Calibri"/>
          <w:sz w:val="22"/>
          <w:szCs w:val="22"/>
        </w:rPr>
        <w:t>Built a churn_rate_by_category() helper and ranked all 16 categorical features by churn-rate “spread” to auto-identify the most discriminating ones.</w:t>
      </w:r>
    </w:p>
    <w:p w14:paraId="08855299">
      <w:pPr>
        <w:pStyle w:val="16"/>
        <w:numPr>
          <w:ilvl w:val="0"/>
          <w:numId w:val="1"/>
        </w:numPr>
        <w:spacing w:after="80"/>
      </w:pPr>
      <w:r>
        <w:rPr>
          <w:rFonts w:ascii="Calibri" w:hAnsi="Calibri" w:eastAsia="Calibri" w:cs="Calibri"/>
          <w:sz w:val="22"/>
          <w:szCs w:val="22"/>
        </w:rPr>
        <w:t>Plotted churn rate for the top 6 discriminating features, plus separate breakdowns for phone/service features, billing/payment features, and streaming features (every categorical column was reviewed, not just the top-ranked ones).</w:t>
      </w:r>
    </w:p>
    <w:p w14:paraId="5B36567B">
      <w:pPr>
        <w:pStyle w:val="16"/>
        <w:numPr>
          <w:ilvl w:val="0"/>
          <w:numId w:val="1"/>
        </w:numPr>
        <w:spacing w:after="80"/>
      </w:pPr>
      <w:r>
        <w:rPr>
          <w:rFonts w:ascii="Calibri" w:hAnsi="Calibri" w:eastAsia="Calibri" w:cs="Calibri"/>
          <w:sz w:val="22"/>
          <w:szCs w:val="22"/>
        </w:rPr>
        <w:t>Compared tenure, MonthlyCharges, and TotalCharges distributions between churned and retained customers using KDE plots.</w:t>
      </w:r>
    </w:p>
    <w:p w14:paraId="209F3E19">
      <w:pPr>
        <w:pStyle w:val="3"/>
        <w:spacing w:before="240" w:after="120"/>
      </w:pPr>
      <w:r>
        <w:t>Multivariate &amp; Correlation Analysis</w:t>
      </w:r>
    </w:p>
    <w:p w14:paraId="426DBA7A">
      <w:pPr>
        <w:pStyle w:val="16"/>
        <w:numPr>
          <w:ilvl w:val="0"/>
          <w:numId w:val="1"/>
        </w:numPr>
        <w:spacing w:after="80"/>
      </w:pPr>
      <w:r>
        <w:rPr>
          <w:rFonts w:ascii="Calibri" w:hAnsi="Calibri" w:eastAsia="Calibri" w:cs="Calibri"/>
          <w:sz w:val="22"/>
          <w:szCs w:val="22"/>
        </w:rPr>
        <w:t>Segmented churn rate by Contract type × Tenure band to test whether tenure's effect holds within each contract type.</w:t>
      </w:r>
    </w:p>
    <w:p w14:paraId="76E2682D">
      <w:pPr>
        <w:pStyle w:val="16"/>
        <w:numPr>
          <w:ilvl w:val="0"/>
          <w:numId w:val="1"/>
        </w:numPr>
        <w:spacing w:after="80"/>
      </w:pPr>
      <w:r>
        <w:rPr>
          <w:rFonts w:ascii="Calibri" w:hAnsi="Calibri" w:eastAsia="Calibri" w:cs="Calibri"/>
          <w:sz w:val="22"/>
          <w:szCs w:val="22"/>
        </w:rPr>
        <w:t>Plotted MonthlyCharges vs TotalCharges by churn status to inspect segment clustering directly.</w:t>
      </w:r>
    </w:p>
    <w:p w14:paraId="15A3A555">
      <w:pPr>
        <w:pStyle w:val="16"/>
        <w:numPr>
          <w:ilvl w:val="0"/>
          <w:numId w:val="1"/>
        </w:numPr>
        <w:spacing w:after="80"/>
      </w:pPr>
      <w:r>
        <w:rPr>
          <w:rFonts w:ascii="Calibri" w:hAnsi="Calibri" w:eastAsia="Calibri" w:cs="Calibri"/>
          <w:sz w:val="22"/>
          <w:szCs w:val="22"/>
        </w:rPr>
        <w:t>Built a correlation matrix and heatmap across tenure, MonthlyCharges, TotalCharges, SeniorCitizen, and Churn.</w:t>
      </w:r>
    </w:p>
    <w:p w14:paraId="7CD32033">
      <w:pPr>
        <w:pStyle w:val="16"/>
        <w:numPr>
          <w:ilvl w:val="0"/>
          <w:numId w:val="1"/>
        </w:numPr>
        <w:spacing w:after="80"/>
      </w:pPr>
      <w:r>
        <w:rPr>
          <w:rFonts w:ascii="Calibri" w:hAnsi="Calibri" w:eastAsia="Calibri" w:cs="Calibri"/>
          <w:sz w:val="22"/>
          <w:szCs w:val="22"/>
        </w:rPr>
        <w:t>Produced pairwise scatterplots for all three numeric feature combinations, colored by churn.</w:t>
      </w:r>
    </w:p>
    <w:p w14:paraId="7EDC81AE">
      <w:pPr>
        <w:pStyle w:val="16"/>
        <w:numPr>
          <w:ilvl w:val="0"/>
          <w:numId w:val="1"/>
        </w:numPr>
        <w:spacing w:after="80"/>
      </w:pPr>
      <w:r>
        <w:rPr>
          <w:rFonts w:ascii="Calibri" w:hAnsi="Calibri" w:eastAsia="Calibri" w:cs="Calibri"/>
          <w:sz w:val="22"/>
          <w:szCs w:val="22"/>
        </w:rPr>
        <w:t>Ran a multicollinearity check (pairwise Pearson correlation) on the three numeric predictors.</w:t>
      </w:r>
    </w:p>
    <w:p w14:paraId="29187E44">
      <w:pPr>
        <w:pStyle w:val="2"/>
        <w:spacing w:before="320" w:after="160"/>
      </w:pPr>
      <w:r>
        <w:t>2 → What Was Discovered</w:t>
      </w:r>
    </w:p>
    <w:p w14:paraId="42322892">
      <w:pPr>
        <w:pStyle w:val="3"/>
        <w:spacing w:before="240" w:after="120"/>
      </w:pPr>
      <w:r>
        <w:t>Primary Churn Drivers (largest deviation from the 26.5% baseline)</w:t>
      </w:r>
    </w:p>
    <w:p w14:paraId="5F59CD7E">
      <w:pPr>
        <w:pStyle w:val="16"/>
        <w:numPr>
          <w:ilvl w:val="0"/>
          <w:numId w:val="1"/>
        </w:numPr>
        <w:spacing w:after="80"/>
      </w:pPr>
      <w:r>
        <w:rPr>
          <w:rFonts w:ascii="Calibri" w:hAnsi="Calibri" w:eastAsia="Calibri" w:cs="Calibri"/>
          <w:sz w:val="22"/>
          <w:szCs w:val="22"/>
        </w:rPr>
        <w:t>Contract type: month-to-month customers churn at ~43% vs. ~11% (one-year) and ~3% (two-year).</w:t>
      </w:r>
    </w:p>
    <w:p w14:paraId="72F6E706">
      <w:pPr>
        <w:pStyle w:val="16"/>
        <w:numPr>
          <w:ilvl w:val="0"/>
          <w:numId w:val="1"/>
        </w:numPr>
        <w:spacing w:after="80"/>
      </w:pPr>
      <w:r>
        <w:rPr>
          <w:rFonts w:ascii="Calibri" w:hAnsi="Calibri" w:eastAsia="Calibri" w:cs="Calibri"/>
          <w:sz w:val="22"/>
          <w:szCs w:val="22"/>
        </w:rPr>
        <w:t>Internet service: Fiber optic customers churn at ~42% vs. ~19% (DSL) and ~7% (no internet).</w:t>
      </w:r>
    </w:p>
    <w:p w14:paraId="720BA0C9">
      <w:pPr>
        <w:pStyle w:val="16"/>
        <w:numPr>
          <w:ilvl w:val="0"/>
          <w:numId w:val="1"/>
        </w:numPr>
        <w:spacing w:after="80"/>
      </w:pPr>
      <w:r>
        <w:rPr>
          <w:rFonts w:ascii="Calibri" w:hAnsi="Calibri" w:eastAsia="Calibri" w:cs="Calibri"/>
          <w:sz w:val="22"/>
          <w:szCs w:val="22"/>
        </w:rPr>
        <w:t>Security / support add-ons: customers without OnlineSecurity, TechSupport, OnlineBackup, or DeviceProtection churn at roughly 39–42%, vs. ~15% for customers who have the add-on.</w:t>
      </w:r>
    </w:p>
    <w:p w14:paraId="6A2AE35F">
      <w:pPr>
        <w:pStyle w:val="16"/>
        <w:numPr>
          <w:ilvl w:val="0"/>
          <w:numId w:val="1"/>
        </w:numPr>
        <w:spacing w:after="80"/>
      </w:pPr>
      <w:r>
        <w:rPr>
          <w:rFonts w:ascii="Calibri" w:hAnsi="Calibri" w:eastAsia="Calibri" w:cs="Calibri"/>
          <w:sz w:val="22"/>
          <w:szCs w:val="22"/>
        </w:rPr>
        <w:t>Payment method: Electronic check payers churn at ~45%, about 3x every automatic payment method (15–17%).</w:t>
      </w:r>
    </w:p>
    <w:p w14:paraId="18A06309">
      <w:pPr>
        <w:pStyle w:val="16"/>
        <w:numPr>
          <w:ilvl w:val="0"/>
          <w:numId w:val="1"/>
        </w:numPr>
        <w:spacing w:after="80"/>
      </w:pPr>
      <w:r>
        <w:rPr>
          <w:rFonts w:ascii="Calibri" w:hAnsi="Calibri" w:eastAsia="Calibri" w:cs="Calibri"/>
          <w:sz w:val="22"/>
          <w:szCs w:val="22"/>
        </w:rPr>
        <w:t>PaperlessBilling customers churn more than non-paperless customers.</w:t>
      </w:r>
    </w:p>
    <w:p w14:paraId="7EBB4460">
      <w:pPr>
        <w:pStyle w:val="3"/>
        <w:spacing w:before="240" w:after="120"/>
      </w:pPr>
      <w:r>
        <w:t>Weak / Non-Discriminating Features</w:t>
      </w:r>
    </w:p>
    <w:p w14:paraId="033B0E2C">
      <w:pPr>
        <w:pStyle w:val="16"/>
        <w:numPr>
          <w:ilvl w:val="0"/>
          <w:numId w:val="1"/>
        </w:numPr>
        <w:spacing w:after="80"/>
      </w:pPr>
      <w:r>
        <w:rPr>
          <w:rFonts w:ascii="Calibri" w:hAnsi="Calibri" w:eastAsia="Calibri" w:cs="Calibri"/>
          <w:sz w:val="22"/>
          <w:szCs w:val="22"/>
        </w:rPr>
        <w:t>PhoneService (~27% vs ~25%) and MultipleLines show minimal difference from baseline — not useful churn signals on their own.</w:t>
      </w:r>
    </w:p>
    <w:p w14:paraId="14CF84FA">
      <w:pPr>
        <w:pStyle w:val="16"/>
        <w:numPr>
          <w:ilvl w:val="0"/>
          <w:numId w:val="1"/>
        </w:numPr>
        <w:spacing w:after="80"/>
      </w:pPr>
      <w:r>
        <w:rPr>
          <w:rFonts w:ascii="Calibri" w:hAnsi="Calibri" w:eastAsia="Calibri" w:cs="Calibri"/>
          <w:sz w:val="22"/>
          <w:szCs w:val="22"/>
        </w:rPr>
        <w:t>StreamingTV / StreamingMovies show only a slight effect once “no internet service” customers are separated out.</w:t>
      </w:r>
    </w:p>
    <w:p w14:paraId="0C0A0364">
      <w:pPr>
        <w:pStyle w:val="3"/>
        <w:spacing w:before="240" w:after="120"/>
      </w:pPr>
      <w:r>
        <w:t>Numeric Feature Patterns</w:t>
      </w:r>
    </w:p>
    <w:p w14:paraId="6CEB58C8">
      <w:pPr>
        <w:pStyle w:val="16"/>
        <w:numPr>
          <w:ilvl w:val="0"/>
          <w:numId w:val="1"/>
        </w:numPr>
        <w:spacing w:after="80"/>
      </w:pPr>
      <w:r>
        <w:rPr>
          <w:rFonts w:ascii="Calibri" w:hAnsi="Calibri" w:eastAsia="Calibri" w:cs="Calibri"/>
          <w:sz w:val="22"/>
          <w:szCs w:val="22"/>
        </w:rPr>
        <w:t>Tenure: churned customers cluster heavily at 0–10 months; retained customers spread much wider with a peak at high tenure.</w:t>
      </w:r>
    </w:p>
    <w:p w14:paraId="506F9074">
      <w:pPr>
        <w:pStyle w:val="16"/>
        <w:numPr>
          <w:ilvl w:val="0"/>
          <w:numId w:val="1"/>
        </w:numPr>
        <w:spacing w:after="80"/>
      </w:pPr>
      <w:r>
        <w:rPr>
          <w:rFonts w:ascii="Calibri" w:hAnsi="Calibri" w:eastAsia="Calibri" w:cs="Calibri"/>
          <w:sz w:val="22"/>
          <w:szCs w:val="22"/>
        </w:rPr>
        <w:t>MonthlyCharges: churned customers skew higher, concentrated above ~$60–100/month.</w:t>
      </w:r>
    </w:p>
    <w:p w14:paraId="34DD11EA">
      <w:pPr>
        <w:pStyle w:val="16"/>
        <w:numPr>
          <w:ilvl w:val="0"/>
          <w:numId w:val="1"/>
        </w:numPr>
        <w:spacing w:after="80"/>
      </w:pPr>
      <w:r>
        <w:rPr>
          <w:rFonts w:ascii="Calibri" w:hAnsi="Calibri" w:eastAsia="Calibri" w:cs="Calibri"/>
          <w:sz w:val="22"/>
          <w:szCs w:val="22"/>
        </w:rPr>
        <w:t>TotalCharges: churned customers cluster at low values — a direct reflection of their short tenure rather than an independent effect.</w:t>
      </w:r>
    </w:p>
    <w:p w14:paraId="5508F07F">
      <w:pPr>
        <w:pStyle w:val="3"/>
        <w:spacing w:before="240" w:after="120"/>
      </w:pPr>
      <w:r>
        <w:t>Multivariate Finding (the sharpest insight from this stage)</w:t>
      </w:r>
    </w:p>
    <w:p w14:paraId="38FCAA01">
      <w:pPr>
        <w:pStyle w:val="16"/>
        <w:numPr>
          <w:ilvl w:val="0"/>
          <w:numId w:val="1"/>
        </w:numPr>
        <w:spacing w:after="80"/>
      </w:pPr>
      <w:r>
        <w:rPr>
          <w:rFonts w:ascii="Calibri" w:hAnsi="Calibri" w:eastAsia="Calibri" w:cs="Calibri"/>
          <w:sz w:val="22"/>
          <w:szCs w:val="22"/>
        </w:rPr>
        <w:t>Within month-to-month contracts specifically, customers in their first 0–12 months churn at over 50% — the single highest-risk segment in the entire dataset. Tenure is not just a stand-in for contract type; it has an independent effect, strongest exactly where contract flexibility is highest.</w:t>
      </w:r>
    </w:p>
    <w:p w14:paraId="1CCE992E">
      <w:pPr>
        <w:pStyle w:val="3"/>
        <w:spacing w:before="240" w:after="120"/>
      </w:pPr>
      <w:r>
        <w:t>Correlation / Multicollinearity Finding</w:t>
      </w:r>
    </w:p>
    <w:p w14:paraId="42F38214">
      <w:pPr>
        <w:pStyle w:val="16"/>
        <w:numPr>
          <w:ilvl w:val="0"/>
          <w:numId w:val="1"/>
        </w:numPr>
        <w:spacing w:after="80"/>
      </w:pPr>
      <w:r>
        <w:rPr>
          <w:rFonts w:ascii="Calibri" w:hAnsi="Calibri" w:eastAsia="Calibri" w:cs="Calibri"/>
          <w:sz w:val="22"/>
          <w:szCs w:val="22"/>
        </w:rPr>
        <w:t>TotalCharges correlates strongly with tenure (r = 0.83) and moderately with MonthlyCharges (r = 0.65) — it is essentially an accumulated effect of the other two, not an independent signal.</w:t>
      </w:r>
    </w:p>
    <w:p w14:paraId="7975ED2C">
      <w:pPr>
        <w:pStyle w:val="16"/>
        <w:numPr>
          <w:ilvl w:val="0"/>
          <w:numId w:val="1"/>
        </w:numPr>
        <w:spacing w:after="80"/>
      </w:pPr>
      <w:r>
        <w:rPr>
          <w:rFonts w:ascii="Calibri" w:hAnsi="Calibri" w:eastAsia="Calibri" w:cs="Calibri"/>
          <w:sz w:val="22"/>
          <w:szCs w:val="22"/>
        </w:rPr>
        <w:t>tenure vs MonthlyCharges is weak (r = 0.25), confirming these two are the more independent pair.</w:t>
      </w:r>
    </w:p>
    <w:p w14:paraId="6AD1E447">
      <w:pPr>
        <w:pStyle w:val="2"/>
        <w:spacing w:before="320" w:after="160"/>
      </w:pPr>
      <w:r>
        <w:t>3 → What Decisions Were Made</w:t>
      </w:r>
    </w:p>
    <w:p w14:paraId="179C188B">
      <w:pPr>
        <w:spacing w:after="140"/>
      </w:pPr>
      <w:r>
        <w:rPr>
          <w:rFonts w:ascii="Calibri" w:hAnsi="Calibri" w:eastAsia="Calibri" w:cs="Calibri"/>
          <w:sz w:val="22"/>
          <w:szCs w:val="22"/>
        </w:rPr>
        <w:t>These are exploration-stage working decisions — several are explicitly provisional and flagged in Section 4 for Simon/the team to confirm or override.</w:t>
      </w:r>
    </w:p>
    <w:p w14:paraId="34E69A2F">
      <w:pPr>
        <w:pStyle w:val="16"/>
        <w:numPr>
          <w:ilvl w:val="0"/>
          <w:numId w:val="1"/>
        </w:numPr>
        <w:spacing w:after="80"/>
      </w:pPr>
      <w:r>
        <w:rPr>
          <w:rFonts w:ascii="Calibri" w:hAnsi="Calibri" w:eastAsia="Calibri" w:cs="Calibri"/>
          <w:sz w:val="22"/>
          <w:szCs w:val="22"/>
        </w:rPr>
        <w:t>TotalCharges blanks were filled with 0 for exploration purposes, based on the finding that all 11 blanks correspond to tenure = 0. This is a reasoned placeholder, not necessarily the final production rule — Simon should confirm or adopt a different approach in Stage 5.</w:t>
      </w:r>
    </w:p>
    <w:p w14:paraId="334DED25">
      <w:pPr>
        <w:pStyle w:val="16"/>
        <w:numPr>
          <w:ilvl w:val="0"/>
          <w:numId w:val="1"/>
        </w:numPr>
        <w:spacing w:after="80"/>
      </w:pPr>
      <w:r>
        <w:rPr>
          <w:rFonts w:ascii="Calibri" w:hAnsi="Calibri" w:eastAsia="Calibri" w:cs="Calibri"/>
          <w:sz w:val="22"/>
          <w:szCs w:val="22"/>
        </w:rPr>
        <w:t>customerID was excluded from all pattern analysis but was not physically dropped from df_eda — formally dropping it before modeling is Simon's responsibility.</w:t>
      </w:r>
    </w:p>
    <w:p w14:paraId="6A193FEB">
      <w:pPr>
        <w:pStyle w:val="16"/>
        <w:numPr>
          <w:ilvl w:val="0"/>
          <w:numId w:val="1"/>
        </w:numPr>
        <w:spacing w:after="80"/>
      </w:pPr>
      <w:r>
        <w:rPr>
          <w:rFonts w:ascii="Calibri" w:hAnsi="Calibri" w:eastAsia="Calibri" w:cs="Calibri"/>
          <w:sz w:val="22"/>
          <w:szCs w:val="22"/>
        </w:rPr>
        <w:t>Exploration was done on light-cleaned, human-readable category labels (not one-hot encoded) deliberately, so charts remain interpretable — encoding is intentionally left to Stage 5.</w:t>
      </w:r>
    </w:p>
    <w:p w14:paraId="59F52706">
      <w:pPr>
        <w:pStyle w:val="16"/>
        <w:numPr>
          <w:ilvl w:val="0"/>
          <w:numId w:val="1"/>
        </w:numPr>
        <w:spacing w:after="80"/>
      </w:pPr>
      <w:r>
        <w:rPr>
          <w:rFonts w:ascii="Calibri" w:hAnsi="Calibri" w:eastAsia="Calibri" w:cs="Calibri"/>
          <w:sz w:val="22"/>
          <w:szCs w:val="22"/>
        </w:rPr>
        <w:t>The top-6-by-spread ranking method was chosen over a formal statistical test (e.g. chi-square) as a fast, explainable first pass — accepted as “good enough for exploration,” not validated for modeling-stage feature selection.</w:t>
      </w:r>
    </w:p>
    <w:p w14:paraId="5A26D31F">
      <w:pPr>
        <w:pStyle w:val="16"/>
        <w:numPr>
          <w:ilvl w:val="0"/>
          <w:numId w:val="1"/>
        </w:numPr>
        <w:spacing w:after="80"/>
      </w:pPr>
      <w:r>
        <w:rPr>
          <w:rFonts w:ascii="Calibri" w:hAnsi="Calibri" w:eastAsia="Calibri" w:cs="Calibri"/>
          <w:sz w:val="22"/>
          <w:szCs w:val="22"/>
        </w:rPr>
        <w:t>TotalCharges was flagged (not removed) as a multicollinearity risk — the decision to drop it, transform it (e.g. avg_monthly_spend = TotalCharges / (tenure+1)), or keep it with a documented caveat is left open for Simon and Aikay.</w:t>
      </w:r>
    </w:p>
    <w:p w14:paraId="3AC06BAF">
      <w:pPr>
        <w:pStyle w:val="2"/>
        <w:spacing w:before="320" w:after="160"/>
      </w:pPr>
      <w:r>
        <w:t>4 → What Remains Uncertain or Risky</w:t>
      </w:r>
    </w:p>
    <w:p w14:paraId="1E6BF207">
      <w:pPr>
        <w:pStyle w:val="16"/>
        <w:numPr>
          <w:ilvl w:val="0"/>
          <w:numId w:val="1"/>
        </w:numPr>
        <w:spacing w:after="80"/>
      </w:pPr>
      <w:r>
        <w:rPr>
          <w:rFonts w:ascii="Calibri" w:hAnsi="Calibri" w:eastAsia="Calibri" w:cs="Calibri"/>
          <w:sz w:val="22"/>
          <w:szCs w:val="22"/>
        </w:rPr>
        <w:t>Full-dataset exploration: all analysis above was run on the complete dataset, not a train-only split. Best practice is to explore only the training set so visual findings don't quietly leak information from what will later be the test set. The team should decide whether to re-run key EDA on a train-only split before finalizing feature decisions.</w:t>
      </w:r>
    </w:p>
    <w:p w14:paraId="3FA7E7FA">
      <w:pPr>
        <w:pStyle w:val="16"/>
        <w:numPr>
          <w:ilvl w:val="0"/>
          <w:numId w:val="1"/>
        </w:numPr>
        <w:spacing w:after="80"/>
      </w:pPr>
      <w:r>
        <w:rPr>
          <w:rFonts w:ascii="Calibri" w:hAnsi="Calibri" w:eastAsia="Calibri" w:cs="Calibri"/>
          <w:sz w:val="22"/>
          <w:szCs w:val="22"/>
        </w:rPr>
        <w:t>Colab-specific file path: the notebook loads data via "/content/Customer_churn.csv", a Google Colab path. It will fail as-is outside Colab — the path needs to be parameterized before this becomes a shared/reproducible script.</w:t>
      </w:r>
    </w:p>
    <w:p w14:paraId="56321F7C">
      <w:pPr>
        <w:pStyle w:val="16"/>
        <w:numPr>
          <w:ilvl w:val="0"/>
          <w:numId w:val="1"/>
        </w:numPr>
        <w:spacing w:after="80"/>
      </w:pPr>
      <w:r>
        <w:rPr>
          <w:rFonts w:ascii="Calibri" w:hAnsi="Calibri" w:eastAsia="Calibri" w:cs="Calibri"/>
          <w:sz w:val="22"/>
          <w:szCs w:val="22"/>
        </w:rPr>
        <w:t>No formal significance testing: the “churn-rate spread” ranking is a simple heuristic (max − min), not a chi-square or other statistical test. It could overstate the importance of a feature with a small subgroup (e.g. a rare category with few customers) — worth a sanity check before treating the ranking as final.</w:t>
      </w:r>
    </w:p>
    <w:p w14:paraId="1F4D502D">
      <w:pPr>
        <w:pStyle w:val="16"/>
        <w:numPr>
          <w:ilvl w:val="0"/>
          <w:numId w:val="1"/>
        </w:numPr>
        <w:spacing w:after="80"/>
      </w:pPr>
      <w:r>
        <w:rPr>
          <w:rFonts w:ascii="Calibri" w:hAnsi="Calibri" w:eastAsia="Calibri" w:cs="Calibri"/>
          <w:sz w:val="22"/>
          <w:szCs w:val="22"/>
        </w:rPr>
        <w:t>TotalCharges multicollinearity is identified but unresolved — no VIF or formal threshold was computed in this notebook version, and no drop/keep/transform decision has been made yet.</w:t>
      </w:r>
    </w:p>
    <w:p w14:paraId="3B9DFB8F">
      <w:pPr>
        <w:pStyle w:val="16"/>
        <w:numPr>
          <w:ilvl w:val="0"/>
          <w:numId w:val="1"/>
        </w:numPr>
        <w:spacing w:after="80"/>
      </w:pPr>
      <w:r>
        <w:rPr>
          <w:rFonts w:ascii="Calibri" w:hAnsi="Calibri" w:eastAsia="Calibri" w:cs="Calibri"/>
          <w:sz w:val="22"/>
          <w:szCs w:val="22"/>
        </w:rPr>
        <w:t>gender and SeniorCitizen show weak discriminating power in this EDA — open question for the team: exclude them, keep them for fairness auditing purposes regardless of predictive power, or handle differently.</w:t>
      </w:r>
    </w:p>
    <w:p w14:paraId="7E0DC799">
      <w:pPr>
        <w:pStyle w:val="16"/>
        <w:numPr>
          <w:ilvl w:val="0"/>
          <w:numId w:val="1"/>
        </w:numPr>
        <w:spacing w:after="80"/>
      </w:pPr>
      <w:r>
        <w:rPr>
          <w:rFonts w:ascii="Calibri" w:hAnsi="Calibri" w:eastAsia="Calibri" w:cs="Calibri"/>
          <w:sz w:val="22"/>
          <w:szCs w:val="22"/>
        </w:rPr>
        <w:t>Correlation vs. causation: several findings (e.g. PaperlessBilling, Electronic check) describe association with churn, not a demonstrated cause. These should be presented to the team as behavioral correlates, not confirmed drivers, when the final story is told.</w:t>
      </w:r>
    </w:p>
    <w:p w14:paraId="50301C49">
      <w:pPr>
        <w:pStyle w:val="16"/>
        <w:numPr>
          <w:ilvl w:val="0"/>
          <w:numId w:val="1"/>
        </w:numPr>
        <w:spacing w:after="80"/>
      </w:pPr>
      <w:r>
        <w:rPr>
          <w:rFonts w:ascii="Calibri" w:hAnsi="Calibri" w:eastAsia="Calibri" w:cs="Calibri"/>
          <w:sz w:val="22"/>
          <w:szCs w:val="22"/>
        </w:rPr>
        <w:t>The 0-fill for TotalCharges blanks is a placeholder rule inherited from exploration — it has not been independently validated by Simon as the production-appropriate choice.</w:t>
      </w:r>
    </w:p>
    <w:p w14:paraId="72DF36BB">
      <w:pPr>
        <w:pStyle w:val="2"/>
        <w:spacing w:before="320" w:after="160"/>
      </w:pPr>
      <w:r>
        <w:t>5 → What the Next Lead Must Do / Use</w:t>
      </w:r>
    </w:p>
    <w:p w14:paraId="0D9B21C7">
      <w:pPr>
        <w:spacing w:after="140"/>
      </w:pPr>
      <w:r>
        <w:rPr>
          <w:rFonts w:ascii="Calibri" w:hAnsi="Calibri" w:eastAsia="Calibri" w:cs="Calibri"/>
          <w:sz w:val="22"/>
          <w:szCs w:val="22"/>
        </w:rPr>
        <w:t>For Simon Nnaji (Data Preparation Lead) — and shared with the whole team per the handoff requirement in the brief:</w:t>
      </w:r>
      <w:bookmarkStart w:id="0" w:name="_GoBack"/>
      <w:bookmarkEnd w:id="0"/>
    </w:p>
    <w:p w14:paraId="4B7CE83B">
      <w:pPr>
        <w:pStyle w:val="3"/>
        <w:spacing w:before="240" w:after="120"/>
      </w:pPr>
      <w:r>
        <w:t>Must Use</w:t>
      </w:r>
    </w:p>
    <w:p w14:paraId="0F4F9DA1">
      <w:pPr>
        <w:pStyle w:val="16"/>
        <w:numPr>
          <w:ilvl w:val="0"/>
          <w:numId w:val="1"/>
        </w:numPr>
        <w:spacing w:after="80"/>
      </w:pPr>
      <w:r>
        <w:rPr>
          <w:rFonts w:ascii="Calibri" w:hAnsi="Calibri" w:eastAsia="Calibri" w:cs="Calibri"/>
          <w:sz w:val="22"/>
          <w:szCs w:val="22"/>
        </w:rPr>
        <w:t>Start from the raw df (unmodified), not the exploration copy df_eda — df_eda's cleaning was a shortcut for charting, not a validated production pipeline.</w:t>
      </w:r>
    </w:p>
    <w:p w14:paraId="202BD6D9">
      <w:pPr>
        <w:pStyle w:val="16"/>
        <w:numPr>
          <w:ilvl w:val="0"/>
          <w:numId w:val="1"/>
        </w:numPr>
        <w:spacing w:after="80"/>
      </w:pPr>
      <w:r>
        <w:rPr>
          <w:rFonts w:ascii="Calibri" w:hAnsi="Calibri" w:eastAsia="Calibri" w:cs="Calibri"/>
          <w:sz w:val="22"/>
          <w:szCs w:val="22"/>
        </w:rPr>
        <w:t>Reuse the data dictionary built in this stage as the basis for documenting final dtypes and encoding choices.</w:t>
      </w:r>
    </w:p>
    <w:p w14:paraId="13E3E6BD">
      <w:pPr>
        <w:pStyle w:val="16"/>
        <w:numPr>
          <w:ilvl w:val="0"/>
          <w:numId w:val="1"/>
        </w:numPr>
        <w:spacing w:after="80"/>
      </w:pPr>
      <w:r>
        <w:rPr>
          <w:rFonts w:ascii="Calibri" w:hAnsi="Calibri" w:eastAsia="Calibri" w:cs="Calibri"/>
          <w:sz w:val="22"/>
          <w:szCs w:val="22"/>
        </w:rPr>
        <w:t>Reuse the churn_rate_by_category() helper and the top-6 discriminating feature list as a starting point for feature-selection discussions with Aikay.</w:t>
      </w:r>
    </w:p>
    <w:p w14:paraId="097215EF">
      <w:pPr>
        <w:pStyle w:val="16"/>
        <w:numPr>
          <w:ilvl w:val="0"/>
          <w:numId w:val="1"/>
        </w:numPr>
        <w:spacing w:after="80"/>
      </w:pPr>
      <w:r>
        <w:rPr>
          <w:rFonts w:ascii="Calibri" w:hAnsi="Calibri" w:eastAsia="Calibri" w:cs="Calibri"/>
          <w:sz w:val="22"/>
          <w:szCs w:val="22"/>
        </w:rPr>
        <w:t>Reference the multicollinearity finding (TotalCharges vs tenure/MonthlyCharges) when deciding the final feature set.</w:t>
      </w:r>
    </w:p>
    <w:p w14:paraId="54FB1B32">
      <w:pPr>
        <w:pStyle w:val="3"/>
        <w:spacing w:before="240" w:after="120"/>
      </w:pPr>
      <w:r>
        <w:t>Must Do</w:t>
      </w:r>
    </w:p>
    <w:p w14:paraId="65DB1FE8">
      <w:pPr>
        <w:pStyle w:val="16"/>
        <w:numPr>
          <w:ilvl w:val="0"/>
          <w:numId w:val="1"/>
        </w:numPr>
        <w:spacing w:after="80"/>
      </w:pPr>
      <w:r>
        <w:rPr>
          <w:rFonts w:ascii="Calibri" w:hAnsi="Calibri" w:eastAsia="Calibri" w:cs="Calibri"/>
          <w:sz w:val="22"/>
          <w:szCs w:val="22"/>
        </w:rPr>
        <w:t>Formally confirm or override the TotalCharges blank-handling rule, and document the reasoning either way.</w:t>
      </w:r>
    </w:p>
    <w:p w14:paraId="157864C7">
      <w:pPr>
        <w:pStyle w:val="16"/>
        <w:numPr>
          <w:ilvl w:val="0"/>
          <w:numId w:val="1"/>
        </w:numPr>
        <w:spacing w:after="80"/>
      </w:pPr>
      <w:r>
        <w:rPr>
          <w:rFonts w:ascii="Calibri" w:hAnsi="Calibri" w:eastAsia="Calibri" w:cs="Calibri"/>
          <w:sz w:val="22"/>
          <w:szCs w:val="22"/>
        </w:rPr>
        <w:t>Drop customerID before any modeling step.</w:t>
      </w:r>
    </w:p>
    <w:p w14:paraId="725A412C">
      <w:pPr>
        <w:pStyle w:val="16"/>
        <w:numPr>
          <w:ilvl w:val="0"/>
          <w:numId w:val="1"/>
        </w:numPr>
        <w:spacing w:after="80"/>
      </w:pPr>
      <w:r>
        <w:rPr>
          <w:rFonts w:ascii="Calibri" w:hAnsi="Calibri" w:eastAsia="Calibri" w:cs="Calibri"/>
          <w:sz w:val="22"/>
          <w:szCs w:val="22"/>
        </w:rPr>
        <w:t>Decide the final treatment of TotalCharges (drop / transform / keep-with-caveat) and communicate that decision back to the whole team, per the Teamwork Rule.</w:t>
      </w:r>
    </w:p>
    <w:p w14:paraId="24CCAB3F">
      <w:pPr>
        <w:pStyle w:val="16"/>
        <w:numPr>
          <w:ilvl w:val="0"/>
          <w:numId w:val="1"/>
        </w:numPr>
        <w:spacing w:after="80"/>
      </w:pPr>
      <w:r>
        <w:rPr>
          <w:rFonts w:ascii="Calibri" w:hAnsi="Calibri" w:eastAsia="Calibri" w:cs="Calibri"/>
          <w:sz w:val="22"/>
          <w:szCs w:val="22"/>
        </w:rPr>
        <w:t>Build the repeatable preprocessing pipeline (scaling for numeric features, encoding for categorical features) required for Stage 5's deliverable.</w:t>
      </w:r>
    </w:p>
    <w:p w14:paraId="7EA71A3F">
      <w:pPr>
        <w:pStyle w:val="16"/>
        <w:numPr>
          <w:ilvl w:val="0"/>
          <w:numId w:val="1"/>
        </w:numPr>
        <w:spacing w:after="80"/>
      </w:pPr>
      <w:r>
        <w:rPr>
          <w:rFonts w:ascii="Calibri" w:hAnsi="Calibri" w:eastAsia="Calibri" w:cs="Calibri"/>
          <w:sz w:val="22"/>
          <w:szCs w:val="22"/>
        </w:rPr>
        <w:t>Perform the train/test split with stratification to preserve the ~26.5% churn ratio in both sets.</w:t>
      </w:r>
    </w:p>
    <w:p w14:paraId="0CF1E26C">
      <w:pPr>
        <w:pStyle w:val="16"/>
        <w:numPr>
          <w:ilvl w:val="0"/>
          <w:numId w:val="1"/>
        </w:numPr>
        <w:spacing w:after="80"/>
      </w:pPr>
      <w:r>
        <w:rPr>
          <w:rFonts w:ascii="Calibri" w:hAnsi="Calibri" w:eastAsia="Calibri" w:cs="Calibri"/>
          <w:sz w:val="22"/>
          <w:szCs w:val="22"/>
        </w:rPr>
        <w:t>Parameterize or fix the Colab-specific file path so the pipeline runs outside Colab.</w:t>
      </w:r>
    </w:p>
    <w:p w14:paraId="492FEBBA">
      <w:pPr>
        <w:pStyle w:val="16"/>
        <w:numPr>
          <w:ilvl w:val="0"/>
          <w:numId w:val="1"/>
        </w:numPr>
        <w:spacing w:after="80"/>
      </w:pPr>
      <w:r>
        <w:rPr>
          <w:rFonts w:ascii="Calibri" w:hAnsi="Calibri" w:eastAsia="Calibri" w:cs="Calibri"/>
          <w:sz w:val="22"/>
          <w:szCs w:val="22"/>
        </w:rPr>
        <w:t>Flag back to Jason/the team if any Stage 5 decision changes an EDA finding's validity (e.g. if a feature is dropped, the corresponding chart's insight should be marked accordingly in the final notebook).</w:t>
      </w:r>
    </w:p>
    <w:p w14:paraId="5C50D5EF">
      <w:pPr>
        <w:spacing w:after="200"/>
      </w:pPr>
    </w:p>
    <w:p w14:paraId="2C483979">
      <w:pPr>
        <w:pBdr>
          <w:top w:val="single" w:color="BFBFBF" w:sz="6" w:space="4"/>
        </w:pBdr>
        <w:spacing w:before="200"/>
      </w:pPr>
      <w:r>
        <w:rPr>
          <w:rFonts w:ascii="Calibri" w:hAnsi="Calibri" w:eastAsia="Calibri" w:cs="Calibri"/>
          <w:i/>
          <w:iCs/>
          <w:color w:val="595959"/>
          <w:sz w:val="20"/>
          <w:szCs w:val="20"/>
        </w:rPr>
        <w:t>Reminder from the brief's Teamwork Rule: this handoff transfers first responsibility, not exclusive ownership. Simon inherits the lead on preparation, but every team member — including Jason — remains expected to understand and be able to defend these decisions.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5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50A720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1398</Words>
  <Characters>8221</Characters>
  <TotalTime>1299</TotalTime>
  <ScaleCrop>false</ScaleCrop>
  <LinksUpToDate>false</LinksUpToDate>
  <CharactersWithSpaces>9535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2026-08-21T18:42:00Z</dcterms:created>
  <dc:creator>Un-named</dc:creator>
  <cp:lastModifiedBy>User</cp:lastModifiedBy>
  <dcterms:modified xsi:type="dcterms:W3CDTF">2026-08-22T17:11:59Z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eyJoZGlkIjoiZDcxNzNhMGY2YWNiZWZkNzhiMWJhMTY2OWIwMzk1ZTcifQ==</vt:lpwstr>
  </property>
  <property fmtid="{D5CDD505-2E9C-101B-9397-08002B2CF9AE}" pid="3" name="KSOProductBuildVer">
    <vt:lpwstr>1033-12.1.0.28032</vt:lpwstr>
  </property>
  <property fmtid="{D5CDD505-2E9C-101B-9397-08002B2CF9AE}" pid="4" name="ICV">
    <vt:lpwstr>DC4B8B9F4D3240F4BAC1F21E8A2B0337_12</vt:lpwstr>
  </property>
</Properties>
</file>