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D54B" w14:textId="77777777" w:rsidR="00C66298" w:rsidRDefault="00C66298">
      <w:pPr>
        <w:pageBreakBefore/>
      </w:pPr>
    </w:p>
    <w:p w14:paraId="2F035B3D" w14:textId="77777777" w:rsidR="00C66298" w:rsidRDefault="00C66298">
      <w:pPr>
        <w:spacing w:before="600"/>
      </w:pPr>
    </w:p>
    <w:p w14:paraId="2ED00775" w14:textId="77777777" w:rsidR="00C66298" w:rsidRDefault="00000000">
      <w:pPr>
        <w:spacing w:after="100"/>
        <w:jc w:val="center"/>
      </w:pPr>
      <w:r>
        <w:rPr>
          <w:b/>
          <w:bCs/>
          <w:color w:val="1F3864"/>
          <w:sz w:val="30"/>
          <w:szCs w:val="30"/>
        </w:rPr>
        <w:t>UNIVERSITY OF ENERGY AND NATURAL RESOURCES</w:t>
      </w:r>
    </w:p>
    <w:p w14:paraId="7DBAD43D" w14:textId="77777777" w:rsidR="00C66298" w:rsidRDefault="00000000">
      <w:pPr>
        <w:spacing w:before="60" w:after="240"/>
        <w:jc w:val="center"/>
      </w:pPr>
      <w:r>
        <w:rPr>
          <w:color w:val="1F3864"/>
        </w:rPr>
        <w:t>Department of Information Technology and Decision Sciences</w:t>
      </w:r>
    </w:p>
    <w:p w14:paraId="036D25F8" w14:textId="77777777" w:rsidR="00C66298" w:rsidRDefault="00C66298">
      <w:pPr>
        <w:spacing w:before="200"/>
      </w:pPr>
    </w:p>
    <w:p w14:paraId="0D564DAC" w14:textId="77777777" w:rsidR="00C66298" w:rsidRDefault="00000000">
      <w:pPr>
        <w:spacing w:before="160" w:after="60"/>
        <w:jc w:val="center"/>
      </w:pPr>
      <w:r>
        <w:rPr>
          <w:b/>
          <w:bCs/>
          <w:color w:val="000000"/>
          <w:sz w:val="32"/>
          <w:szCs w:val="32"/>
        </w:rPr>
        <w:t>INTELLIGENT E-LEARNING PLATFORM FOR ACADEMIC TRACKING</w:t>
      </w:r>
    </w:p>
    <w:p w14:paraId="42EE8A43" w14:textId="77777777" w:rsidR="00C66298" w:rsidRDefault="00000000">
      <w:pPr>
        <w:spacing w:after="100"/>
        <w:jc w:val="center"/>
      </w:pPr>
      <w:r>
        <w:rPr>
          <w:b/>
          <w:bCs/>
          <w:color w:val="000000"/>
          <w:sz w:val="32"/>
          <w:szCs w:val="32"/>
        </w:rPr>
        <w:t>SYSTEMS WITH PERFORMANCE ANALYTICS</w:t>
      </w:r>
    </w:p>
    <w:p w14:paraId="543B10D1" w14:textId="77777777" w:rsidR="00C66298" w:rsidRDefault="00C66298">
      <w:pPr>
        <w:spacing w:before="120"/>
      </w:pPr>
    </w:p>
    <w:p w14:paraId="79011204" w14:textId="77777777" w:rsidR="00C66298" w:rsidRDefault="00000000">
      <w:pPr>
        <w:spacing w:before="100" w:after="40"/>
        <w:jc w:val="center"/>
      </w:pPr>
      <w:r>
        <w:rPr>
          <w:color w:val="000000"/>
        </w:rPr>
        <w:t>A Project Report Submitted in Partial Fulfilment of the Requirements for the</w:t>
      </w:r>
    </w:p>
    <w:p w14:paraId="391D1977" w14:textId="77777777" w:rsidR="00C66298" w:rsidRDefault="00000000">
      <w:pPr>
        <w:spacing w:after="240"/>
        <w:jc w:val="center"/>
      </w:pPr>
      <w:r>
        <w:rPr>
          <w:color w:val="000000"/>
        </w:rPr>
        <w:t>Degree of Bachelor of Science in Information Technology</w:t>
      </w:r>
    </w:p>
    <w:p w14:paraId="2C66C75E" w14:textId="77777777" w:rsidR="00C66298" w:rsidRDefault="00C66298">
      <w:pPr>
        <w:spacing w:before="200"/>
      </w:pPr>
    </w:p>
    <w:p w14:paraId="7DFB3284" w14:textId="77777777" w:rsidR="00C66298" w:rsidRDefault="00000000">
      <w:pPr>
        <w:spacing w:before="80" w:after="80"/>
        <w:jc w:val="center"/>
      </w:pPr>
      <w:r>
        <w:rPr>
          <w:b/>
          <w:bCs/>
          <w:color w:val="000000"/>
        </w:rPr>
        <w:t>Submitted by:</w:t>
      </w:r>
    </w:p>
    <w:p w14:paraId="28CDFC33" w14:textId="77777777" w:rsidR="00C66298" w:rsidRDefault="00000000">
      <w:pPr>
        <w:spacing w:before="60" w:after="40"/>
        <w:jc w:val="center"/>
      </w:pPr>
      <w:r>
        <w:rPr>
          <w:color w:val="000000"/>
        </w:rPr>
        <w:t>Samuel Menlawaih          UEB3231122</w:t>
      </w:r>
    </w:p>
    <w:p w14:paraId="0150E8F4" w14:textId="77777777" w:rsidR="00C66298" w:rsidRDefault="00000000">
      <w:pPr>
        <w:spacing w:before="40" w:after="40"/>
        <w:jc w:val="center"/>
      </w:pPr>
      <w:r>
        <w:rPr>
          <w:color w:val="000000"/>
        </w:rPr>
        <w:t>Gyau Harriet                     UEB3219022</w:t>
      </w:r>
    </w:p>
    <w:p w14:paraId="18058381" w14:textId="77777777" w:rsidR="00C66298" w:rsidRDefault="00000000">
      <w:pPr>
        <w:spacing w:before="40" w:after="40"/>
        <w:jc w:val="center"/>
      </w:pPr>
      <w:r>
        <w:rPr>
          <w:color w:val="000000"/>
        </w:rPr>
        <w:t>Gyau Ohene Kelvin          UEB3225822</w:t>
      </w:r>
    </w:p>
    <w:p w14:paraId="26929B72" w14:textId="77777777" w:rsidR="00C66298" w:rsidRDefault="00000000">
      <w:pPr>
        <w:spacing w:before="40" w:after="40"/>
        <w:jc w:val="center"/>
      </w:pPr>
      <w:r>
        <w:rPr>
          <w:color w:val="000000"/>
        </w:rPr>
        <w:t>Albert Bawuah                 UEB3221722</w:t>
      </w:r>
    </w:p>
    <w:p w14:paraId="61623081" w14:textId="77777777" w:rsidR="00C66298" w:rsidRDefault="00000000">
      <w:pPr>
        <w:spacing w:before="40" w:after="120"/>
        <w:jc w:val="center"/>
      </w:pPr>
      <w:r>
        <w:rPr>
          <w:color w:val="000000"/>
        </w:rPr>
        <w:t>Asibey Isaac Osei            UEB3218322</w:t>
      </w:r>
    </w:p>
    <w:p w14:paraId="0EEB9D05" w14:textId="77777777" w:rsidR="00C66298" w:rsidRDefault="00C66298">
      <w:pPr>
        <w:spacing w:before="120"/>
      </w:pPr>
    </w:p>
    <w:p w14:paraId="7FF38402" w14:textId="77777777" w:rsidR="00C66298" w:rsidRDefault="00000000">
      <w:pPr>
        <w:spacing w:before="100" w:after="60"/>
        <w:jc w:val="center"/>
      </w:pPr>
      <w:r>
        <w:rPr>
          <w:b/>
          <w:bCs/>
          <w:color w:val="000000"/>
        </w:rPr>
        <w:t>Group Number: 21B</w:t>
      </w:r>
    </w:p>
    <w:p w14:paraId="3C1C2D99" w14:textId="77777777" w:rsidR="00C66298" w:rsidRDefault="00000000">
      <w:pPr>
        <w:spacing w:before="60" w:after="60"/>
        <w:jc w:val="center"/>
      </w:pPr>
      <w:r>
        <w:rPr>
          <w:color w:val="000000"/>
        </w:rPr>
        <w:t>Supervisor: Dr. Michael Opoku</w:t>
      </w:r>
    </w:p>
    <w:p w14:paraId="200E1D93" w14:textId="77777777" w:rsidR="00C66298" w:rsidRDefault="00000000">
      <w:pPr>
        <w:spacing w:before="60"/>
        <w:jc w:val="center"/>
      </w:pPr>
      <w:r>
        <w:rPr>
          <w:color w:val="000000"/>
        </w:rPr>
        <w:t>May 2026</w:t>
      </w:r>
    </w:p>
    <w:p w14:paraId="589165D2" w14:textId="77777777" w:rsidR="00C66298" w:rsidRDefault="00C66298">
      <w:pPr>
        <w:pageBreakBefore/>
      </w:pPr>
    </w:p>
    <w:p w14:paraId="5CFC05D3" w14:textId="77777777" w:rsidR="00C66298" w:rsidRPr="00466A93" w:rsidRDefault="00000000">
      <w:pPr>
        <w:pStyle w:val="Heading1"/>
        <w:rPr>
          <w:color w:val="000000" w:themeColor="text1"/>
        </w:rPr>
      </w:pPr>
      <w:r w:rsidRPr="00466A93">
        <w:rPr>
          <w:color w:val="000000" w:themeColor="text1"/>
        </w:rPr>
        <w:t>DECLARATION AND CERTIFICATE</w:t>
      </w:r>
    </w:p>
    <w:p w14:paraId="4B785601" w14:textId="77777777" w:rsidR="00C66298" w:rsidRDefault="00000000">
      <w:pPr>
        <w:spacing w:before="240" w:after="100"/>
      </w:pPr>
      <w:r>
        <w:rPr>
          <w:b/>
          <w:bCs/>
          <w:color w:val="000000"/>
          <w:sz w:val="26"/>
          <w:szCs w:val="26"/>
        </w:rPr>
        <w:t>Declaration</w:t>
      </w:r>
    </w:p>
    <w:p w14:paraId="628842D9" w14:textId="77777777" w:rsidR="00C66298" w:rsidRDefault="00000000" w:rsidP="00466A93">
      <w:pPr>
        <w:spacing w:before="100" w:after="200" w:line="360" w:lineRule="auto"/>
      </w:pPr>
      <w:r>
        <w:rPr>
          <w:color w:val="000000"/>
        </w:rPr>
        <w:t>We, the undersigned, declare that this project report is our original work towards the award of a Bachelor of Science in Information Technology at the University of Energy and Natural Resources. To the best of our knowledge, it contains no material previously published by another person, nor material accepted for any other qualification, except where due acknowledgement has been made in the text.</w:t>
      </w:r>
    </w:p>
    <w:p w14:paraId="20795A8C" w14:textId="77777777" w:rsidR="00C66298" w:rsidRDefault="00000000" w:rsidP="00466A93">
      <w:pPr>
        <w:spacing w:before="200" w:after="40" w:line="360" w:lineRule="auto"/>
      </w:pPr>
      <w:r>
        <w:rPr>
          <w:b/>
          <w:bCs/>
        </w:rPr>
        <w:t>Samuel Menlawaih</w:t>
      </w:r>
    </w:p>
    <w:p w14:paraId="6A936CEC" w14:textId="77777777" w:rsidR="00C66298" w:rsidRDefault="00000000" w:rsidP="00466A93">
      <w:pPr>
        <w:spacing w:before="20" w:after="8" w:line="360" w:lineRule="auto"/>
      </w:pPr>
      <w:r>
        <w:rPr>
          <w:color w:val="444444"/>
          <w:sz w:val="22"/>
          <w:szCs w:val="22"/>
        </w:rPr>
        <w:t>(UEB3231122)          ………………………………          ………………………………</w:t>
      </w:r>
    </w:p>
    <w:p w14:paraId="34C67F30" w14:textId="77777777" w:rsidR="00C66298" w:rsidRDefault="00000000" w:rsidP="00466A93">
      <w:pPr>
        <w:spacing w:after="160" w:line="360" w:lineRule="auto"/>
      </w:pPr>
      <w:r>
        <w:rPr>
          <w:color w:val="777777"/>
          <w:sz w:val="20"/>
          <w:szCs w:val="20"/>
        </w:rPr>
        <w:t>Index Number                             DATE                                          SIGNATURE</w:t>
      </w:r>
    </w:p>
    <w:p w14:paraId="3E0A2C07" w14:textId="77777777" w:rsidR="00C66298" w:rsidRDefault="00000000" w:rsidP="00466A93">
      <w:pPr>
        <w:spacing w:before="200" w:after="40" w:line="360" w:lineRule="auto"/>
      </w:pPr>
      <w:r>
        <w:rPr>
          <w:b/>
          <w:bCs/>
        </w:rPr>
        <w:t>Gyau Harriet</w:t>
      </w:r>
    </w:p>
    <w:p w14:paraId="2747EF59" w14:textId="77777777" w:rsidR="00C66298" w:rsidRDefault="00000000" w:rsidP="00466A93">
      <w:pPr>
        <w:spacing w:before="20" w:after="8" w:line="360" w:lineRule="auto"/>
      </w:pPr>
      <w:r>
        <w:rPr>
          <w:color w:val="444444"/>
          <w:sz w:val="22"/>
          <w:szCs w:val="22"/>
        </w:rPr>
        <w:t>(UEB3219022)          ………………………………          ………………………………</w:t>
      </w:r>
    </w:p>
    <w:p w14:paraId="0DB5E4E7" w14:textId="77777777" w:rsidR="00C66298" w:rsidRDefault="00000000" w:rsidP="00466A93">
      <w:pPr>
        <w:spacing w:after="160" w:line="360" w:lineRule="auto"/>
      </w:pPr>
      <w:r>
        <w:rPr>
          <w:color w:val="777777"/>
          <w:sz w:val="20"/>
          <w:szCs w:val="20"/>
        </w:rPr>
        <w:t>Index Number                             DATE                                          SIGNATURE</w:t>
      </w:r>
    </w:p>
    <w:p w14:paraId="161B34E8" w14:textId="77777777" w:rsidR="00C66298" w:rsidRDefault="00000000" w:rsidP="00466A93">
      <w:pPr>
        <w:spacing w:before="200" w:after="40" w:line="360" w:lineRule="auto"/>
      </w:pPr>
      <w:r>
        <w:rPr>
          <w:b/>
          <w:bCs/>
        </w:rPr>
        <w:t>Gyau Ohene Kelvin</w:t>
      </w:r>
    </w:p>
    <w:p w14:paraId="2CC96A98" w14:textId="77777777" w:rsidR="00C66298" w:rsidRDefault="00000000" w:rsidP="00466A93">
      <w:pPr>
        <w:spacing w:before="20" w:after="8" w:line="360" w:lineRule="auto"/>
      </w:pPr>
      <w:r>
        <w:rPr>
          <w:color w:val="444444"/>
          <w:sz w:val="22"/>
          <w:szCs w:val="22"/>
        </w:rPr>
        <w:t>(UEB3225822)          ………………………………          ………………………………</w:t>
      </w:r>
    </w:p>
    <w:p w14:paraId="460B198B" w14:textId="77777777" w:rsidR="00C66298" w:rsidRDefault="00000000" w:rsidP="00466A93">
      <w:pPr>
        <w:spacing w:after="160" w:line="360" w:lineRule="auto"/>
      </w:pPr>
      <w:r>
        <w:rPr>
          <w:color w:val="777777"/>
          <w:sz w:val="20"/>
          <w:szCs w:val="20"/>
        </w:rPr>
        <w:t>Index Number                             DATE                                          SIGNATURE</w:t>
      </w:r>
    </w:p>
    <w:p w14:paraId="32DFB88C" w14:textId="77777777" w:rsidR="00C66298" w:rsidRDefault="00000000" w:rsidP="00466A93">
      <w:pPr>
        <w:spacing w:before="200" w:after="40" w:line="360" w:lineRule="auto"/>
      </w:pPr>
      <w:r>
        <w:rPr>
          <w:b/>
          <w:bCs/>
        </w:rPr>
        <w:t>Albert Bawuah</w:t>
      </w:r>
    </w:p>
    <w:p w14:paraId="4BB79E89" w14:textId="77777777" w:rsidR="00C66298" w:rsidRDefault="00000000" w:rsidP="00466A93">
      <w:pPr>
        <w:spacing w:before="20" w:after="8" w:line="360" w:lineRule="auto"/>
      </w:pPr>
      <w:r>
        <w:rPr>
          <w:color w:val="444444"/>
          <w:sz w:val="22"/>
          <w:szCs w:val="22"/>
        </w:rPr>
        <w:t>(UEB3221722)          ………………………………          ………………………………</w:t>
      </w:r>
    </w:p>
    <w:p w14:paraId="5E49D924" w14:textId="77777777" w:rsidR="00C66298" w:rsidRDefault="00000000" w:rsidP="00466A93">
      <w:pPr>
        <w:spacing w:after="160" w:line="360" w:lineRule="auto"/>
      </w:pPr>
      <w:r>
        <w:rPr>
          <w:color w:val="777777"/>
          <w:sz w:val="20"/>
          <w:szCs w:val="20"/>
        </w:rPr>
        <w:t>Index Number                             DATE                                          SIGNATURE</w:t>
      </w:r>
    </w:p>
    <w:p w14:paraId="521C1F15" w14:textId="77777777" w:rsidR="00C66298" w:rsidRDefault="00000000" w:rsidP="00466A93">
      <w:pPr>
        <w:spacing w:before="200" w:after="40" w:line="360" w:lineRule="auto"/>
      </w:pPr>
      <w:r>
        <w:rPr>
          <w:b/>
          <w:bCs/>
        </w:rPr>
        <w:t>Asibey Isaac Osei</w:t>
      </w:r>
    </w:p>
    <w:p w14:paraId="1BE13CC7" w14:textId="77777777" w:rsidR="00C66298" w:rsidRDefault="00000000" w:rsidP="00466A93">
      <w:pPr>
        <w:spacing w:before="20" w:after="8" w:line="360" w:lineRule="auto"/>
      </w:pPr>
      <w:r>
        <w:rPr>
          <w:color w:val="444444"/>
          <w:sz w:val="22"/>
          <w:szCs w:val="22"/>
        </w:rPr>
        <w:t>(UEB3218322)          ………………………………          ………………………………</w:t>
      </w:r>
    </w:p>
    <w:p w14:paraId="2AE55119" w14:textId="77777777" w:rsidR="00C66298" w:rsidRDefault="00000000" w:rsidP="00466A93">
      <w:pPr>
        <w:spacing w:after="160" w:line="360" w:lineRule="auto"/>
      </w:pPr>
      <w:r>
        <w:rPr>
          <w:color w:val="777777"/>
          <w:sz w:val="20"/>
          <w:szCs w:val="20"/>
        </w:rPr>
        <w:t>Index Number                             DATE                                          SIGNATURE</w:t>
      </w:r>
    </w:p>
    <w:p w14:paraId="3A64E567" w14:textId="77777777" w:rsidR="00C66298" w:rsidRDefault="00C66298">
      <w:pPr>
        <w:spacing w:before="280"/>
      </w:pPr>
    </w:p>
    <w:p w14:paraId="4BC17889" w14:textId="77777777" w:rsidR="00C66298" w:rsidRDefault="00000000">
      <w:pPr>
        <w:spacing w:before="240" w:after="100"/>
      </w:pPr>
      <w:r>
        <w:rPr>
          <w:b/>
          <w:bCs/>
          <w:color w:val="000000"/>
          <w:sz w:val="26"/>
          <w:szCs w:val="26"/>
        </w:rPr>
        <w:t>Supervisor's Certification</w:t>
      </w:r>
    </w:p>
    <w:p w14:paraId="5839EA9F" w14:textId="77777777" w:rsidR="00C66298" w:rsidRDefault="00000000" w:rsidP="00466A93">
      <w:pPr>
        <w:spacing w:before="100" w:after="160" w:line="360" w:lineRule="auto"/>
      </w:pPr>
      <w:r>
        <w:rPr>
          <w:color w:val="000000"/>
        </w:rPr>
        <w:t>This project was carried out under my supervision in accordance with the guidelines on the supervision of student research at the University of Energy and Natural Resources.</w:t>
      </w:r>
    </w:p>
    <w:p w14:paraId="40EAC136" w14:textId="77777777" w:rsidR="00C66298" w:rsidRDefault="00000000" w:rsidP="00466A93">
      <w:pPr>
        <w:spacing w:before="100" w:after="40" w:line="360" w:lineRule="auto"/>
      </w:pPr>
      <w:r>
        <w:rPr>
          <w:b/>
          <w:bCs/>
          <w:color w:val="000000"/>
        </w:rPr>
        <w:t>Dr. Michael Opoku</w:t>
      </w:r>
    </w:p>
    <w:p w14:paraId="0902FA3B" w14:textId="77777777" w:rsidR="00C66298" w:rsidRDefault="00000000" w:rsidP="00466A93">
      <w:pPr>
        <w:spacing w:before="40" w:after="240" w:line="360" w:lineRule="auto"/>
      </w:pPr>
      <w:r>
        <w:rPr>
          <w:color w:val="000000"/>
        </w:rPr>
        <w:t>Signature:  ………………………………                           Date:  …………………………</w:t>
      </w:r>
    </w:p>
    <w:p w14:paraId="52465318" w14:textId="77777777" w:rsidR="00C66298" w:rsidRDefault="00000000" w:rsidP="00466A93">
      <w:pPr>
        <w:spacing w:before="200" w:after="100" w:line="360" w:lineRule="auto"/>
      </w:pPr>
      <w:r>
        <w:rPr>
          <w:b/>
          <w:bCs/>
          <w:color w:val="000000"/>
          <w:sz w:val="26"/>
          <w:szCs w:val="26"/>
        </w:rPr>
        <w:lastRenderedPageBreak/>
        <w:t>Head of Department</w:t>
      </w:r>
    </w:p>
    <w:p w14:paraId="6EEE9941" w14:textId="77777777" w:rsidR="00C66298" w:rsidRDefault="00000000" w:rsidP="00466A93">
      <w:pPr>
        <w:spacing w:before="60" w:after="40" w:line="360" w:lineRule="auto"/>
      </w:pPr>
      <w:r>
        <w:rPr>
          <w:color w:val="000000"/>
        </w:rPr>
        <w:t>[Head of Department Name]</w:t>
      </w:r>
    </w:p>
    <w:p w14:paraId="527A5523" w14:textId="77777777" w:rsidR="00C66298" w:rsidRDefault="00000000" w:rsidP="00466A93">
      <w:pPr>
        <w:spacing w:before="40" w:line="360" w:lineRule="auto"/>
      </w:pPr>
      <w:r>
        <w:rPr>
          <w:color w:val="000000"/>
        </w:rPr>
        <w:t>Signature:  ………………………………                           Date:  …………………………</w:t>
      </w:r>
    </w:p>
    <w:p w14:paraId="3A2109BD" w14:textId="77777777" w:rsidR="00C66298" w:rsidRDefault="00C66298">
      <w:pPr>
        <w:pageBreakBefore/>
      </w:pPr>
    </w:p>
    <w:p w14:paraId="207F7253" w14:textId="77777777" w:rsidR="00C66298" w:rsidRPr="00466A93" w:rsidRDefault="00000000">
      <w:pPr>
        <w:pStyle w:val="Heading1"/>
        <w:rPr>
          <w:color w:val="000000" w:themeColor="text1"/>
        </w:rPr>
      </w:pPr>
      <w:r w:rsidRPr="00466A93">
        <w:rPr>
          <w:color w:val="000000" w:themeColor="text1"/>
        </w:rPr>
        <w:t>ABSTRACT</w:t>
      </w:r>
    </w:p>
    <w:p w14:paraId="5451ABC0" w14:textId="77777777" w:rsidR="00C66298" w:rsidRDefault="00000000" w:rsidP="00466A93">
      <w:pPr>
        <w:spacing w:before="100" w:after="120" w:line="360" w:lineRule="auto"/>
      </w:pPr>
      <w:r>
        <w:rPr>
          <w:color w:val="000000"/>
        </w:rPr>
        <w:t>The proliferation of digital learning technologies in higher education has created both an opportunity and an obligation to move beyond the static content-delivery model that characterises traditional Learning Management Systems. This project presents LearnLogix, an intelligent e-learning platform developed for the University of Energy and Natural Resources (UENR), which integrates machine learning-powered personalisation directly into the student learning experience. The platform is built on a full-stack architecture comprising a React 19 frontend, a Django REST Framework backend, and a scikit-learn machine learning layer.</w:t>
      </w:r>
    </w:p>
    <w:p w14:paraId="5C36B72B" w14:textId="77777777" w:rsidR="00C66298" w:rsidRDefault="00000000" w:rsidP="00466A93">
      <w:pPr>
        <w:spacing w:before="80" w:after="120" w:line="360" w:lineRule="auto"/>
      </w:pPr>
      <w:r>
        <w:rPr>
          <w:color w:val="000000"/>
        </w:rPr>
        <w:t>LearnLogix addresses three core gaps identified in conventional LMS deployments: the inability to predict at-risk students before disengagement, the absence of personalised course discovery, and the lack of real-time learning analytics accessible to students themselves. The system implements a Random Forest binary classification model that predicts each student's likelihood of course completion, achieving a test-set AUC-ROC of 0.86 and an F1-score of 0.80. A content-based filtering recommendation engine, driven by student interest profiles and learning style classifications, achieves a precision@3 of 0.61, meaningfully exceeding both popularity-based and random baselines. A gamification layer built around a daily learning streak mechanism is associated with a 37.4 percentage-point increase in course completion rates among high-engagement students.</w:t>
      </w:r>
    </w:p>
    <w:p w14:paraId="3A1DE555" w14:textId="77777777" w:rsidR="00C66298" w:rsidRDefault="00000000" w:rsidP="00466A93">
      <w:pPr>
        <w:spacing w:before="80" w:after="120" w:line="360" w:lineRule="auto"/>
      </w:pPr>
      <w:r>
        <w:rPr>
          <w:color w:val="000000"/>
        </w:rPr>
        <w:t>The student-facing analytics dashboard, powered by Recharts, provides real-time visualisation of learning velocity, course progress, predicted success rates, and personalised recommendations. The Django administration panel offers instructors and administrators visibility into all platform data models, supporting data-driven instructional intervention. The platform additionally incorporates an AI-powered quiz generation feature using the Google Gemini API, enabling automatic creation of multiple-choice questions directly from lesson content.</w:t>
      </w:r>
    </w:p>
    <w:p w14:paraId="27F3B942" w14:textId="77777777" w:rsidR="00C66298" w:rsidRDefault="00000000" w:rsidP="00466A93">
      <w:pPr>
        <w:spacing w:before="80" w:after="120" w:line="360" w:lineRule="auto"/>
      </w:pPr>
      <w:r>
        <w:rPr>
          <w:color w:val="000000"/>
        </w:rPr>
        <w:t xml:space="preserve">The findings of this project demonstrate that machine learning can be meaningfully integrated into a Learning Management System by a small development team without specialised infrastructure, and that behavioural engagement features — particularly prior completion rate, quiz performance, and time-on-task — are the strongest predictors of </w:t>
      </w:r>
      <w:r>
        <w:rPr>
          <w:color w:val="000000"/>
        </w:rPr>
        <w:lastRenderedPageBreak/>
        <w:t>student success. The LearnLogix platform is presented as an open, extensible framework for intelligent e-learning in the African university context.</w:t>
      </w:r>
    </w:p>
    <w:p w14:paraId="4C16E87A" w14:textId="77777777" w:rsidR="00C66298" w:rsidRPr="00466A93" w:rsidRDefault="00000000" w:rsidP="00466A93">
      <w:pPr>
        <w:spacing w:before="80" w:line="360" w:lineRule="auto"/>
      </w:pPr>
      <w:r w:rsidRPr="00466A93">
        <w:rPr>
          <w:color w:val="222222"/>
        </w:rPr>
        <w:t>Keywords: Learning Management System, Machine Learning, Personalised Learning, Recommendation Engine, Student Success Prediction, Learning Analytics, Gamification, React, Django REST Framework, scikit-learn, UENR.</w:t>
      </w:r>
    </w:p>
    <w:p w14:paraId="52176B0F" w14:textId="0CEF6B4E" w:rsidR="00B805E1" w:rsidRPr="00123864" w:rsidRDefault="00000000" w:rsidP="00C356F4">
      <w:pPr>
        <w:pStyle w:val="Heading1"/>
        <w:pageBreakBefore/>
        <w:jc w:val="center"/>
        <w:rPr>
          <w:color w:val="auto"/>
        </w:rPr>
      </w:pPr>
      <w:r>
        <w:rPr>
          <w:color w:val="auto"/>
        </w:rPr>
        <w:lastRenderedPageBreak/>
        <w:t>CHAPTER ONE</w:t>
      </w:r>
      <w:r w:rsidR="00466A93">
        <w:rPr>
          <w:color w:val="auto"/>
        </w:rPr>
        <w:t>:</w:t>
      </w:r>
      <w:r>
        <w:rPr>
          <w:color w:val="auto"/>
        </w:rPr>
        <w:t xml:space="preserve"> INTRODUCTION</w:t>
      </w:r>
    </w:p>
    <w:p w14:paraId="677305B3" w14:textId="77777777" w:rsidR="00B805E1" w:rsidRPr="00123864" w:rsidRDefault="00000000">
      <w:pPr>
        <w:pStyle w:val="Heading2"/>
        <w:rPr>
          <w:color w:val="auto"/>
        </w:rPr>
      </w:pPr>
      <w:r>
        <w:rPr>
          <w:color w:val="auto"/>
        </w:rPr>
        <w:t>1.1 Background of the Study</w:t>
      </w:r>
    </w:p>
    <w:p w14:paraId="42AE8968" w14:textId="77777777" w:rsidR="000302F1" w:rsidRDefault="000302F1" w:rsidP="007C7D34">
      <w:pPr>
        <w:spacing w:before="120" w:after="120" w:line="360" w:lineRule="auto"/>
        <w:jc w:val="both"/>
      </w:pPr>
      <w:r>
        <w:t>It is a well-documented fact that education is one of the most effective development tools and the way it is delivered has been transformed over the past 20 years that few could have foreseen. The history of education technology has long been one of the continuous and relentless breaking of barriers to learning where learning can take place, when and by whom.The history of education technology has been one of constantly overcoming barriers to learning where, when, and by whom it can be learned since the very early days of correspondence courses in the mid-20th century, through CD-ROM-based instructional software in the 1990s, and now with access to internet-connected learning platforms from any smartphone. Despite this incredible leap forward, the essence of technology-enabled learning has not fully been realised and the divide between what technology can do and what most students experience in their day-to-day learning is still very great.</w:t>
      </w:r>
    </w:p>
    <w:p w14:paraId="3CDA2B68" w14:textId="77777777" w:rsidR="000302F1" w:rsidRDefault="000302F1" w:rsidP="007C7D34">
      <w:pPr>
        <w:spacing w:before="120" w:after="120" w:line="360" w:lineRule="auto"/>
        <w:jc w:val="both"/>
      </w:pPr>
      <w:r>
        <w:t>What is most important in this new era of this history isn't just digital content or online learning, but multiple transformative technologies all coming together at the same time. Cities the world over in the developing countries are gaining access to high-speed internet. The cost of bringing into deployment a high-end web application is greatly lowered by cloud computing and can be afforded by a small group of students. The mobile device provides students with strong computing power who may not have access to a desktop computer. In fact, one of the most important advances brought by artificial intelligence is that the technology has become more than a subject of academic debate, but is now a toolkit of capabilities that any programmer of skill can now incorporate into a functioning application. It is now really possible to create learning spaces that not only convey information, but also monitor, think about, and react to the learning process of each specific student.</w:t>
      </w:r>
    </w:p>
    <w:p w14:paraId="18BFF958" w14:textId="77777777" w:rsidR="000302F1" w:rsidRDefault="000302F1" w:rsidP="007C7D34">
      <w:pPr>
        <w:spacing w:before="120" w:after="120" w:line="360" w:lineRule="auto"/>
        <w:jc w:val="both"/>
      </w:pPr>
      <w:r>
        <w:t xml:space="preserve">It is helpful to reflect on the generation of digital education tools that have come before these, to consider why this is significant. During the 2000s and 2010s, the LMS was the blueprint for institutional e-learning, connecting all components and providing a unified interface for managing learning. Platforms like Moodle, Blackboard, Canvas and Desire2Learn were embraced by universities across all continents, providing students with a centralised place to access courses, submit assignments and communicate with their teachers. These were real enhancements to the previous steps and in terms of the </w:t>
      </w:r>
      <w:r>
        <w:lastRenderedPageBreak/>
        <w:t>management of the course they were not to be underestimated. A near-universal adoption of LMS in higher education, however, did not lead to a change in learning outcomes, as Watson and Bhatt (2021) recorded in their extensive review of LMS adoption in the HE sector. As Dobre (2015) and others have pointed out, the design of traditional LMS platforms is based on the logic of a content archive instead of the logic of learning. They store and retrieve materials efficiently, but have little awareness of whether students understand the materials they access. In platforms such as Moodle, the analytics that are present largely monitor access numbers and logins but not a significant measure of understanding, engagement or academic progression.</w:t>
      </w:r>
    </w:p>
    <w:p w14:paraId="17CD602A" w14:textId="77777777" w:rsidR="000302F1" w:rsidRDefault="000302F1" w:rsidP="007C7D34">
      <w:pPr>
        <w:spacing w:before="120" w:after="120" w:line="360" w:lineRule="auto"/>
        <w:jc w:val="both"/>
      </w:pPr>
      <w:r>
        <w:t>It is only gradually that this restriction has become more noticeable in the context of the increasing demands on higher education. In many universities, especially in Sub-Saharan Africa, student-faculty ratios make personalised academic guidance a feasible reality for only a select few students. In large lecture halls and lecture halls at geographically dispersed locations with large number of students, and in shortened academic schedules, the mechanisms of informal help and support that do not exist or are less effective in smaller institutions simply aren't there. When a student falls behind in a large first-year class, he or she may not be given any warning that their progress is not as it should be until they have to take a formal exam, at which time remediation can be harder and more expensive. How technology can provide the kind of feedback which is continuous and individualised, but which human instructors cannot easily provide, even at scale, now represents one of the key practical challenges for the research and development of educational technologies in the African university context.</w:t>
      </w:r>
    </w:p>
    <w:p w14:paraId="3CEEF1C4" w14:textId="77777777" w:rsidR="000302F1" w:rsidRDefault="000302F1" w:rsidP="007C7D34">
      <w:pPr>
        <w:spacing w:before="120" w:after="120" w:line="360" w:lineRule="auto"/>
        <w:jc w:val="both"/>
      </w:pPr>
      <w:r>
        <w:t xml:space="preserve">The challenge of understanding how learning occurs and how that learning can be guided, enhanced, and modeled in order to inform and improve teaching and learning has been the motivation for the development of the field of learning analytics, which is one of the hottest and most promising lines of Educational Technology (eLT) research today. The core idea behind learning analytics is that there is a constant flow of behaviour data created through digital interactions between learners and online learning environments that, if managed well through collection and analysis, can provide a wealth of information regarding the actual progress of learning. Every student lesson, quiz, and time the student spends on course material has an impact. These traces can, when combined and analysed by suitable statistical or machine learning techniques, facilitate predictions with a certain accuracy that in well-designed systems can be above 80%, as shown by Hussain et al. (2019). In practice, </w:t>
      </w:r>
      <w:r>
        <w:lastRenderedPageBreak/>
        <w:t>a system with a healthy predictive analytics system can detect students that are at risk of falling behind before they actually get to failure, and make interventions that are both timely and targeted.</w:t>
      </w:r>
    </w:p>
    <w:p w14:paraId="35BDC31F" w14:textId="77777777" w:rsidR="000302F1" w:rsidRDefault="000302F1" w:rsidP="007C7D34">
      <w:pPr>
        <w:spacing w:before="120" w:after="120" w:line="360" w:lineRule="auto"/>
        <w:jc w:val="both"/>
      </w:pPr>
      <w:r>
        <w:t>AI-assisted personalisation has also given rise to tools beyond prediction to guidance, in addition to learning analytics. In various online learning settings, recommenders have been demonstrated to increase engagement and completion rates by matching learners to resources or courses based on their prior activities and interests, as well as similar learners' activities and interests (Lops et al., 2011; Kizilcec et al., 2017). With the advent of LLMs, automatic question generation, which involves using NLP to create quiz questions from course material without human input, has come a long way, and the quality of the questions produced by these systems is quite comparable to that of subject-matter experts (SMEs) created by carefully written human questions (Moore et al., 2022). Until recently, these features were only supported by commercial platforms and now have been made publically available as APIs for any development team to embed a web application.</w:t>
      </w:r>
    </w:p>
    <w:p w14:paraId="4BF34AB6" w14:textId="77777777" w:rsidR="000302F1" w:rsidRDefault="000302F1" w:rsidP="007C7D34">
      <w:pPr>
        <w:spacing w:before="120" w:after="120" w:line="360" w:lineRule="auto"/>
        <w:jc w:val="both"/>
      </w:pPr>
      <w:r>
        <w:t xml:space="preserve">All of the above was the impetus for this project. It is designed in the context of the University of Energy and Natural Resources (UENR) in Ghana, where the issues of scale, resource limitation and limited personalisation, which are typical of higher education in sub-Saharan Africa, are acutely experienced by the students and teachers who form the potential users of this system. The Intelligent E-learning Platform for Academic Tracking Systems with Performance Analytics is a fully fledged Web application that combines four capabilities that are not common in the academic tracking system market, and not found in a single academic tracking system system available for institutions such as UENR: a structured course management environment in which course content is organised hierarchically into courses, modules and lessons; a real-time progress tracking system with records of each student's interaction with the content in the course; a machine-learning-based success prediction engine that processes student engagement data and returns a probability estimate of course completion success; and an AI-powered quiz generation feature that converts lesson text into structured multiple choice questions without requiring any input from the teacher. It is developed with Django and Django REST Framework as the backend, React and Vite as the front-end, scikit-learn for the machine learning model, and the Google Gemini API for generating quizzes. All these tools were chosen based on empirical evidence as well as their feasibility and described in depth in the chapters of literature review and methodology that follow. </w:t>
      </w:r>
    </w:p>
    <w:p w14:paraId="4F8608C6" w14:textId="77777777" w:rsidR="000302F1" w:rsidRDefault="000302F1" w:rsidP="000302F1">
      <w:pPr>
        <w:pStyle w:val="Heading2"/>
        <w:spacing w:line="360" w:lineRule="auto"/>
        <w:rPr>
          <w:b w:val="0"/>
          <w:bCs w:val="0"/>
          <w:color w:val="auto"/>
          <w:sz w:val="24"/>
          <w:szCs w:val="24"/>
        </w:rPr>
      </w:pPr>
      <w:r>
        <w:rPr>
          <w:b w:val="0"/>
          <w:bCs w:val="0"/>
          <w:color w:val="auto"/>
          <w:sz w:val="24"/>
          <w:szCs w:val="24"/>
        </w:rPr>
        <w:lastRenderedPageBreak/>
        <w:t>The goal of this project is not to come up with the most technically advanced system ever constructed for educational use. To provide evidence that such a system can be constructed, it is functional, and it could be deployed and maintained by a university with limited technical resources. This demonstration is the main contribution of this work and is positioned as a specific demonstration in the context of Ghanaian Higher Education, which is developed and informed throughout by a credible body of literature drawn from the peer-reviewed literature on learning analytics, adaptive learning and AI assisted assessment.</w:t>
      </w:r>
    </w:p>
    <w:p w14:paraId="640B79E8" w14:textId="77777777" w:rsidR="00B805E1" w:rsidRPr="00123864" w:rsidRDefault="00000000">
      <w:pPr>
        <w:pStyle w:val="Heading2"/>
        <w:rPr>
          <w:color w:val="auto"/>
        </w:rPr>
      </w:pPr>
      <w:r>
        <w:rPr>
          <w:color w:val="auto"/>
        </w:rPr>
        <w:t>1.2 Research Problem</w:t>
      </w:r>
    </w:p>
    <w:p w14:paraId="27509B4A" w14:textId="77777777" w:rsidR="000302F1" w:rsidRDefault="000302F1" w:rsidP="007C7D34">
      <w:pPr>
        <w:spacing w:before="120" w:after="120" w:line="360" w:lineRule="auto"/>
        <w:jc w:val="both"/>
      </w:pPr>
      <w:r>
        <w:t>The issue this project will address is focussed, practical and well proven in the educational technology literature: fragmentation of the available tools that can be used to manage, monitor and support the learning process by students and institutions. The typical higher education environment is built around the idea of having course content in one system, grades in another, library resources in a third, and tools for analytics and feedback as a set of separate services to be checked out separately. This is not just a nuisance; it can have significant impact on learning outcomes, since the benefit of predictive analytics and personalised recommendations is that they should be part of the learning workflow rather than separate from it.</w:t>
      </w:r>
    </w:p>
    <w:p w14:paraId="5A622FD6" w14:textId="77777777" w:rsidR="000302F1" w:rsidRDefault="000302F1" w:rsidP="007C7D34">
      <w:pPr>
        <w:spacing w:before="120" w:after="120" w:line="360" w:lineRule="auto"/>
        <w:jc w:val="both"/>
      </w:pPr>
      <w:r>
        <w:t xml:space="preserve">Although there are many learning management systems that are widely used, they do not address this issue. As Dobre (2015) noted, the most prevalent LMS platforms focus on storing and delivering content, rather than on analysing how people learn and then creating personalized guidance. If these platforms provide analytics dashboards, they are generally limited to basic metrics like the number of times people log in and how many pages they visit, as opposed to more meaningful metrics that would enable prediction and intervention, such as engagement and understanding. (Siemens and Long, 2011) Smoother systems of adaptive learning and predictive analytics that have been developed in the literature are not usually found as whole, deployable systems, but as offline tools that are used to analyse historical data from existing LMS databases, not as live features embedded in a learning environment, used by students in their actual learning process (Romero and Ventura, 2013). What this means for students at a school such as UENR is that they'll get no smart signal as to whether they're doing these activities and what its relationship is with the odds of success, no personalized guidance as to what courses they should take based upon their </w:t>
      </w:r>
      <w:r>
        <w:lastRenderedPageBreak/>
        <w:t>interests and learning objectives, and no automatic practice resources to engage in that would provide feedback on the lesson content without needing an instructor to prepare a formal assessment. These are all things that are possible in the present state of educational technology, which is not impossible but an integration gap. Any single solution today does not yet offer course management, real-time tracking, success prediction via machine learning, interest-based recommendation, and AI-based assessment in a lightweight, open-source, and deployable without an expensive proprietary infrastructure.</w:t>
      </w:r>
    </w:p>
    <w:p w14:paraId="03D2094D" w14:textId="77777777" w:rsidR="000302F1" w:rsidRDefault="000302F1" w:rsidP="007C7D34">
      <w:pPr>
        <w:spacing w:before="120" w:after="120" w:line="360" w:lineRule="auto"/>
        <w:jc w:val="both"/>
      </w:pPr>
      <w:r>
        <w:t>This project directly targets the above gap. Not a theoretical blue-print of possible ways to achieve such integration but a working implementation reflecting the viability of the approach. All of these capabilities are built into the same integrated platform, demonstrating that they can co-exist and work together, all on the same standard open-source tools, within the context of a student development project, and that this constitutes a proof of concept and a template to which other developers and institutions can add and modify.</w:t>
      </w:r>
    </w:p>
    <w:p w14:paraId="2BBB794F" w14:textId="77777777" w:rsidR="00B805E1" w:rsidRPr="00123864" w:rsidRDefault="00000000">
      <w:pPr>
        <w:pStyle w:val="Heading2"/>
        <w:rPr>
          <w:color w:val="auto"/>
        </w:rPr>
      </w:pPr>
      <w:r>
        <w:rPr>
          <w:color w:val="auto"/>
        </w:rPr>
        <w:t>1.3 Research Objectives</w:t>
      </w:r>
    </w:p>
    <w:p w14:paraId="5229973A" w14:textId="77777777" w:rsidR="000302F1" w:rsidRPr="000302F1" w:rsidRDefault="000302F1" w:rsidP="000302F1">
      <w:pPr>
        <w:pStyle w:val="Heading2"/>
        <w:spacing w:line="360" w:lineRule="auto"/>
        <w:rPr>
          <w:b w:val="0"/>
          <w:bCs w:val="0"/>
          <w:color w:val="auto"/>
          <w:sz w:val="24"/>
          <w:szCs w:val="24"/>
        </w:rPr>
      </w:pPr>
      <w:r>
        <w:rPr>
          <w:b w:val="0"/>
          <w:bCs w:val="0"/>
          <w:color w:val="auto"/>
          <w:sz w:val="24"/>
          <w:szCs w:val="24"/>
        </w:rPr>
        <w:t>The following specific research objectives were defined to inform the design, development and evaluation of the platform. Every objective will have a specific part of the system, and can be evaluated according to the functional and technical requirements described in the methodology chapter.</w:t>
      </w:r>
    </w:p>
    <w:p w14:paraId="209B6982" w14:textId="77777777" w:rsidR="000302F1" w:rsidRPr="000302F1" w:rsidRDefault="000302F1" w:rsidP="000302F1">
      <w:pPr>
        <w:pStyle w:val="Heading2"/>
        <w:spacing w:line="360" w:lineRule="auto"/>
        <w:rPr>
          <w:b w:val="0"/>
          <w:bCs w:val="0"/>
          <w:color w:val="auto"/>
          <w:sz w:val="24"/>
          <w:szCs w:val="24"/>
        </w:rPr>
      </w:pPr>
      <w:r>
        <w:rPr>
          <w:b w:val="0"/>
          <w:bCs w:val="0"/>
          <w:color w:val="auto"/>
          <w:sz w:val="24"/>
          <w:szCs w:val="24"/>
        </w:rPr>
        <w:t>The first goal is to create a comprehensive course management system that includes a Django REST API backend and a React frontend, allowing for the hierarchical organization of educational material into courses, modules, and lessons, along with a user enrollment system that connects students to courses, which will track their progress and learning over time.</w:t>
      </w:r>
    </w:p>
    <w:p w14:paraId="052B671D" w14:textId="77777777" w:rsidR="000302F1" w:rsidRPr="000302F1" w:rsidRDefault="000302F1" w:rsidP="000302F1">
      <w:pPr>
        <w:pStyle w:val="Heading2"/>
        <w:spacing w:line="360" w:lineRule="auto"/>
        <w:rPr>
          <w:b w:val="0"/>
          <w:bCs w:val="0"/>
          <w:color w:val="auto"/>
          <w:sz w:val="24"/>
          <w:szCs w:val="24"/>
        </w:rPr>
      </w:pPr>
      <w:r>
        <w:rPr>
          <w:b w:val="0"/>
          <w:bCs w:val="0"/>
          <w:color w:val="auto"/>
          <w:sz w:val="24"/>
          <w:szCs w:val="24"/>
        </w:rPr>
        <w:t>The second goal is to develop a quantitative progress tracking subsystem that is able to capture, for each student enrolled in a course, whether students complete each lesson in a course, the time they spend on each lesson (in seconds), and the scores earned in any quizzes that accompany the lessons they complete, creating a tidy data set of engagement metrics for each student.</w:t>
      </w:r>
    </w:p>
    <w:p w14:paraId="6D1F7091" w14:textId="77777777" w:rsidR="000302F1" w:rsidRPr="000302F1" w:rsidRDefault="000302F1" w:rsidP="000302F1">
      <w:pPr>
        <w:pStyle w:val="Heading2"/>
        <w:spacing w:line="360" w:lineRule="auto"/>
        <w:rPr>
          <w:b w:val="0"/>
          <w:bCs w:val="0"/>
          <w:color w:val="auto"/>
          <w:sz w:val="24"/>
          <w:szCs w:val="24"/>
        </w:rPr>
      </w:pPr>
      <w:r>
        <w:rPr>
          <w:b w:val="0"/>
          <w:bCs w:val="0"/>
          <w:color w:val="auto"/>
          <w:sz w:val="24"/>
          <w:szCs w:val="24"/>
        </w:rPr>
        <w:lastRenderedPageBreak/>
        <w:t>The third goal is to create and deploy a machine learning model taking the engagement metrics provided by the tracking subsystem (progress percentage, total time spent and average quiz score) as input to the trained scikit-learn RandomForestRegressor serialised with joblib and return an estimate of the probability that a particular student will successfully complete a course based on any given student-course enrolment on demand.</w:t>
      </w:r>
    </w:p>
    <w:p w14:paraId="6A2E4AE2" w14:textId="77777777" w:rsidR="000302F1" w:rsidRPr="000302F1" w:rsidRDefault="000302F1" w:rsidP="000302F1">
      <w:pPr>
        <w:pStyle w:val="Heading2"/>
        <w:spacing w:line="360" w:lineRule="auto"/>
        <w:rPr>
          <w:b w:val="0"/>
          <w:bCs w:val="0"/>
          <w:color w:val="auto"/>
          <w:sz w:val="24"/>
          <w:szCs w:val="24"/>
        </w:rPr>
      </w:pPr>
      <w:r>
        <w:rPr>
          <w:b w:val="0"/>
          <w:bCs w:val="0"/>
          <w:color w:val="auto"/>
          <w:sz w:val="24"/>
          <w:szCs w:val="24"/>
        </w:rPr>
        <w:t>The fourth objective is to provide a course recommendation engine, which, based on the student's declared interest areas stored in his profile, will produce a personalised and ranked list of courses for each student that have not yet been enrolled, in order of preference, by using a content-based filtering approach and taking into account an additional weighting corresponding to the popularity of the course during previous enrollements.</w:t>
      </w:r>
    </w:p>
    <w:p w14:paraId="0CFBA2A3" w14:textId="77777777" w:rsidR="000302F1" w:rsidRDefault="000302F1" w:rsidP="000302F1">
      <w:pPr>
        <w:pStyle w:val="Heading2"/>
        <w:spacing w:line="360" w:lineRule="auto"/>
        <w:rPr>
          <w:b w:val="0"/>
          <w:bCs w:val="0"/>
          <w:color w:val="auto"/>
          <w:sz w:val="24"/>
          <w:szCs w:val="24"/>
        </w:rPr>
      </w:pPr>
      <w:r>
        <w:rPr>
          <w:b w:val="0"/>
          <w:bCs w:val="0"/>
          <w:color w:val="auto"/>
          <w:sz w:val="24"/>
          <w:szCs w:val="24"/>
        </w:rPr>
        <w:t>The fifth objective is to integrate the Google Gemini API in the platform, with the text content of any lesson being used to generate quiz questions, and the resulting quiz questions being stored in the database for use by students later on in the platform.</w:t>
      </w:r>
    </w:p>
    <w:p w14:paraId="2C9AF539" w14:textId="77777777" w:rsidR="000302F1" w:rsidRDefault="000302F1" w:rsidP="000302F1">
      <w:pPr>
        <w:pStyle w:val="Heading2"/>
        <w:rPr>
          <w:b w:val="0"/>
          <w:bCs w:val="0"/>
          <w:color w:val="auto"/>
          <w:sz w:val="24"/>
          <w:szCs w:val="24"/>
        </w:rPr>
      </w:pPr>
    </w:p>
    <w:p w14:paraId="4FBE536A" w14:textId="77777777" w:rsidR="00B805E1" w:rsidRPr="00123864" w:rsidRDefault="00000000" w:rsidP="000302F1">
      <w:pPr>
        <w:pStyle w:val="Heading2"/>
        <w:rPr>
          <w:color w:val="auto"/>
        </w:rPr>
      </w:pPr>
      <w:r>
        <w:rPr>
          <w:color w:val="auto"/>
        </w:rPr>
        <w:t>1.4 Significance of the Study</w:t>
      </w:r>
    </w:p>
    <w:p w14:paraId="5392DCD4" w14:textId="77777777" w:rsidR="000302F1" w:rsidRDefault="000302F1" w:rsidP="007C7D34">
      <w:pPr>
        <w:spacing w:before="120" w:after="120" w:line="360" w:lineRule="auto"/>
        <w:jc w:val="both"/>
      </w:pPr>
      <w:r>
        <w:t>This study has multiple levels of significance which are representative of various aspects of the problem being addressed by the platform. On the first level, the site is directly useful to students taking courses that are administered through the site. A student who is able to see, at any point during his or her course of study, a data-driven estimate of the probability that he or she will successfully complete a course is in a much better position to make decisions about how to spend his or her study time than a student who has only a subjective sense of his or her progress. The prediction feature does not tell a student what to do, it is rather a prompt for students to reflect on their work for which they have evidence and is more grounded in behaviour than the informal judgements that students make about themselves and their own work.</w:t>
      </w:r>
    </w:p>
    <w:p w14:paraId="442E8A41" w14:textId="77777777" w:rsidR="000302F1" w:rsidRDefault="000302F1" w:rsidP="007C7D34">
      <w:pPr>
        <w:spacing w:before="120" w:after="120" w:line="360" w:lineRule="auto"/>
        <w:jc w:val="both"/>
      </w:pPr>
      <w:r>
        <w:t xml:space="preserve">The recommendation engine, which is another product of the project, contributes to its meaning by tackling one source of uncertainty and anxiety that many students might face: course selection. The system would be able to match the students' expressed interest to the course catalog available and present a ranked list of course options that would help to </w:t>
      </w:r>
      <w:r>
        <w:lastRenderedPageBreak/>
        <w:t>alleviate the cognitive load on the students and ensure that they are more likely to engage in courses that are relevant to their goals. As more information is gathered over time, the platform can gain more insight into enrollee behavior and results and the recommendation logic can be further enhanced to incorporate collaborative signals as well as content-based matching.</w:t>
      </w:r>
    </w:p>
    <w:p w14:paraId="487AC644" w14:textId="77777777" w:rsidR="000302F1" w:rsidRDefault="000302F1" w:rsidP="007C7D34">
      <w:pPr>
        <w:spacing w:before="120" w:after="120" w:line="360" w:lineRule="auto"/>
        <w:jc w:val="both"/>
      </w:pPr>
      <w:r>
        <w:t>The importance of the AI Quiz Generation tool is not only that it generates a quiz at the click of a button but also that it also frees up the time of the teachers to prepare quizzes. For the Ghanaian university environment where teachers' workloads are high, preparing supplementary practice questions have become a limiting factor especially when it comes to the quality of multiple choice questions, an automatic quiz generator that generates acceptable quality multiple choice questions directly from lesson text, would be of practical significance to the students' learning opportunity. Having a readily available pool of practice questions allows students to test their knowledge of the lesson material at any time, providing them with immediate feedback and helping them to develop self-directed learning skills which have been found to be associated with success in school (Fredricks et al., 2004).</w:t>
      </w:r>
    </w:p>
    <w:p w14:paraId="2914F2B3" w14:textId="77777777" w:rsidR="000302F1" w:rsidRDefault="000302F1" w:rsidP="007C7D34">
      <w:pPr>
        <w:spacing w:before="120" w:after="120" w:line="360" w:lineRule="auto"/>
        <w:jc w:val="both"/>
      </w:pPr>
      <w:r>
        <w:t>The value of this project is the fact that a complete, multi-featured intelligent e-learning platform can be created from 100% open-source tools with a small team of undergraduate students in a final year project. This is important because there is a belief – sometimes implicit in the literature of educational technology – that intelligent learning systems must be built and deployed in the context of large commercial companies. This project serves as a practical existence proof that Django, React, scikit-learn and the Gemini API can be integrated into a viable integrated platform, at low cost, and that such systems are viable for the motivated developer at resource constrained institutions in the developing world.</w:t>
      </w:r>
    </w:p>
    <w:p w14:paraId="23AF8842" w14:textId="77777777" w:rsidR="000302F1" w:rsidRDefault="000302F1" w:rsidP="007C7D34">
      <w:pPr>
        <w:spacing w:before="120" w:after="120" w:line="360" w:lineRule="auto"/>
        <w:jc w:val="both"/>
      </w:pPr>
      <w:r>
        <w:t>Academic institutions will find the platform a novel method for decision support, in addition to the judgment of their instructors and academic advisors. The system's aggregated analytics dashboards can reveal patterns in student engagement which would otherwise go undetected, thus informing faculty about courses that may have a higher than expected non-completion rate, modules that may have a lower than expected time-on-task, or students who are generally behind in their coursework. Well resourced universities have this kind of institutional intelligence; it's not easy to come by with institutions that are using only traditional LMS systems.</w:t>
      </w:r>
    </w:p>
    <w:p w14:paraId="200B0D8B" w14:textId="77777777" w:rsidR="00B805E1" w:rsidRDefault="000302F1" w:rsidP="007C7D34">
      <w:pPr>
        <w:spacing w:before="120" w:after="120" w:line="360" w:lineRule="auto"/>
        <w:jc w:val="both"/>
      </w:pPr>
      <w:r>
        <w:lastRenderedPageBreak/>
        <w:t>Last but not least, this research helps to build on current research to show the effective integration of learning analytics, adaptive recommendations, and AI-augmented assessment in a single system. These skills have all been explored individually, but this project has less focused on the integration challenge and the particular combination used is a contribution to the understanding of how these skills collectively work in practice.</w:t>
      </w:r>
    </w:p>
    <w:p w14:paraId="63133E7F" w14:textId="77777777" w:rsidR="00B805E1" w:rsidRPr="00123864" w:rsidRDefault="00000000">
      <w:pPr>
        <w:pStyle w:val="Heading2"/>
        <w:rPr>
          <w:color w:val="auto"/>
        </w:rPr>
      </w:pPr>
      <w:r>
        <w:rPr>
          <w:color w:val="auto"/>
        </w:rPr>
        <w:t>1.5 Scope and Limitations</w:t>
      </w:r>
    </w:p>
    <w:p w14:paraId="74518665" w14:textId="77777777" w:rsidR="000302F1" w:rsidRPr="000302F1" w:rsidRDefault="000302F1" w:rsidP="00736E95">
      <w:pPr>
        <w:pStyle w:val="Heading2"/>
        <w:spacing w:line="360" w:lineRule="auto"/>
        <w:rPr>
          <w:b w:val="0"/>
          <w:bCs w:val="0"/>
          <w:color w:val="auto"/>
          <w:sz w:val="24"/>
          <w:szCs w:val="24"/>
        </w:rPr>
      </w:pPr>
      <w:r>
        <w:rPr>
          <w:b w:val="0"/>
          <w:bCs w:val="0"/>
          <w:color w:val="auto"/>
          <w:sz w:val="24"/>
          <w:szCs w:val="24"/>
        </w:rPr>
        <w:t>This project will involve the design and development of an entire intelligent e-learning platform and initial testing of it. The backend system features a full REST API with a Django rest framework, a relational database schema with Django models, a system for managing course content and enrolling users, a system for keeping track of a user's progress, a system for submission of Quizzes, a system for recommending Quizzes, a system for predicting whether a user will succeed on a Quizzes, and a system for generating AI Quizzes. The frontend part of the project involves creating a single page application (SPA) with distinct views for students and administrators, a progress analytics dashboard with data visualised using Recharts, and an AI-generated quiz question request and view interface. These include the creation of training data with Pandas, training the machine learning model (RandomForestRegressor) with scikit-learn, serialising the trained model with joblib, and serving the model as a live prediction endpoint in the Django API. The AI assessment part includes embedding the Google Gemini API for automated MCQ creation based on lesson content.</w:t>
      </w:r>
    </w:p>
    <w:p w14:paraId="769DBEFC" w14:textId="77777777" w:rsidR="000302F1" w:rsidRPr="000302F1" w:rsidRDefault="000302F1" w:rsidP="00736E95">
      <w:pPr>
        <w:pStyle w:val="Heading2"/>
        <w:spacing w:line="360" w:lineRule="auto"/>
        <w:rPr>
          <w:b w:val="0"/>
          <w:bCs w:val="0"/>
          <w:color w:val="auto"/>
          <w:sz w:val="24"/>
          <w:szCs w:val="24"/>
        </w:rPr>
      </w:pPr>
      <w:r>
        <w:rPr>
          <w:b w:val="0"/>
          <w:bCs w:val="0"/>
          <w:color w:val="auto"/>
          <w:sz w:val="24"/>
          <w:szCs w:val="24"/>
        </w:rPr>
        <w:t>The project will not feature a mobile application, an offline mode, video content hosting or an integration with an institutional single sign on. The recommendation engine is restricted to a content-based filtering approach and does not take into account collaborative filtering – this would require a much larger and more diverse user base than a development prototype could produce. The model for success prediction is learned on a synthetic data set and may not be as statistically valid in real deployment as it appears. These boundaries are established because they are contained within the scope of a senior undergraduate project, and because they match the scope of similar research reported in the educational technology literature.</w:t>
      </w:r>
    </w:p>
    <w:p w14:paraId="1CB4B1C6" w14:textId="77777777" w:rsidR="000302F1" w:rsidRDefault="000302F1" w:rsidP="00736E95">
      <w:pPr>
        <w:pStyle w:val="Heading2"/>
        <w:spacing w:line="360" w:lineRule="auto"/>
        <w:rPr>
          <w:b w:val="0"/>
          <w:bCs w:val="0"/>
          <w:color w:val="auto"/>
          <w:sz w:val="24"/>
          <w:szCs w:val="24"/>
        </w:rPr>
      </w:pPr>
      <w:r>
        <w:rPr>
          <w:b w:val="0"/>
          <w:bCs w:val="0"/>
          <w:color w:val="auto"/>
          <w:sz w:val="24"/>
          <w:szCs w:val="24"/>
        </w:rPr>
        <w:t xml:space="preserve">There are a number of restrictions that have to be stated outright. The current system uses SQLite as the database engine, and is suitable only for development and small-scale </w:t>
      </w:r>
      <w:r>
        <w:rPr>
          <w:b w:val="0"/>
          <w:bCs w:val="0"/>
          <w:color w:val="auto"/>
          <w:sz w:val="24"/>
          <w:szCs w:val="24"/>
        </w:rPr>
        <w:lastRenderedPageBreak/>
        <w:t>testing, not for production deployment with a large number of users as would be required for a real student population. This project's development settings provide information about the Django development environment that would be sensitive if it went online. A prediction model trained on synthetic data should not be assumed to provide calibrated predictions of student probability of completion that correspond to what is actually observed from real, representative data; the model illustrates the architecture and the flow of making the prediction system, but the predictions should not be used to estimate the likelihood of completion with any degree of certainty until the model is retrained with real, representative data. The recommendation heuristic, based on matching between students' profiles of interest and course tags, is a naïve and simplistic version of personalisation, not capturing the subtlety of students' learning paths. These restrictions are recognized throughout the report, and are suggested as the key areas for future development efforts.</w:t>
      </w:r>
    </w:p>
    <w:p w14:paraId="5B14C5E1" w14:textId="77777777" w:rsidR="00B805E1" w:rsidRPr="00123864" w:rsidRDefault="00000000" w:rsidP="000302F1">
      <w:pPr>
        <w:pStyle w:val="Heading2"/>
        <w:rPr>
          <w:color w:val="auto"/>
        </w:rPr>
      </w:pPr>
      <w:r>
        <w:rPr>
          <w:color w:val="auto"/>
        </w:rPr>
        <w:t>1.6 Structure of the Report</w:t>
      </w:r>
    </w:p>
    <w:p w14:paraId="46F8377B" w14:textId="77777777" w:rsidR="005D6146" w:rsidRDefault="005D6146" w:rsidP="007C7D34">
      <w:pPr>
        <w:spacing w:before="120" w:after="120" w:line="360" w:lineRule="auto"/>
        <w:jc w:val="both"/>
      </w:pPr>
      <w:r>
        <w:t>The report is broken down into six chapters that cover various stages of the project from conception to evaluation and future directions.</w:t>
      </w:r>
    </w:p>
    <w:p w14:paraId="3B75555B" w14:textId="77777777" w:rsidR="005D6146" w:rsidRDefault="005D6146" w:rsidP="007C7D34">
      <w:pPr>
        <w:spacing w:before="120" w:after="120" w:line="360" w:lineRule="auto"/>
        <w:jc w:val="both"/>
      </w:pPr>
      <w:r>
        <w:t>Chapter Two provides a literature review. It reviews the current academic and technical literature on all four domains from which this project draws its inspiration: Learning Management Systems and their shortcomings, Adaptive Learning and Personalisation systems, Learning Analytics and predictive modelling for student success, and the automatic generation of questions with the aid of AI. The chapter outlines the research gaps this project aims to fill and shows the theoretical foundation, empirical support and ethical considerations behind the design of the system.Chapter Three describes the research methodology. It explains the applied development research approach adopted by the project, classifies the type of research conducted, details the data collection methods Regardless of the sampling approach that was taken, the tools and frameworks used, the statistical and quantitative calculations the system ran, and the testing strategy for reliability and validity.</w:t>
      </w:r>
    </w:p>
    <w:p w14:paraId="1F585E93" w14:textId="77777777" w:rsidR="005D6146" w:rsidRDefault="005D6146" w:rsidP="007C7D34">
      <w:pPr>
        <w:spacing w:before="120" w:after="120" w:line="360" w:lineRule="auto"/>
        <w:jc w:val="both"/>
      </w:pPr>
      <w:r>
        <w:t>Data analysis and results are provided in Chapter Four. It summarizes the quantitative outputs of the testing of the system such as the performance of the prediction model, the quality of the recommendations and the success rate of the generation of the quizzes in the light of the functional objectives defined in this chapter.</w:t>
      </w:r>
    </w:p>
    <w:p w14:paraId="1C30F111" w14:textId="77777777" w:rsidR="005D6146" w:rsidRDefault="005D6146" w:rsidP="007C7D34">
      <w:pPr>
        <w:spacing w:before="120" w:after="120" w:line="360" w:lineRule="auto"/>
        <w:jc w:val="both"/>
      </w:pPr>
      <w:r>
        <w:lastRenderedPageBreak/>
        <w:t>The findings are discussed in Chapter Five. It interprets the results presented in Chapter Four in the context of the original research goals, makes connections with the reviewed literature presented in Chapter Two, highlights accomplishments of the current implementation and most important limitations, and discusses implications of the results for the educational technology field.</w:t>
      </w:r>
    </w:p>
    <w:p w14:paraId="1C9CCD7A" w14:textId="77777777" w:rsidR="00736E95" w:rsidRDefault="005D6146" w:rsidP="007C7D34">
      <w:pPr>
        <w:spacing w:before="120" w:after="120" w:line="360" w:lineRule="auto"/>
        <w:jc w:val="both"/>
      </w:pPr>
      <w:r>
        <w:t>The conclusion and recommendations are given in Chapter Six. It outlines the overall impact of the project, outlines the journey to developing the platform and makes a series of recommendations for future work to get the system from the prototype stage into a deployment-ready production system.</w:t>
      </w:r>
    </w:p>
    <w:p w14:paraId="468392EB" w14:textId="77777777" w:rsidR="00B805E1" w:rsidRPr="00123864" w:rsidRDefault="00000000" w:rsidP="00C356F4">
      <w:pPr>
        <w:pStyle w:val="Heading1"/>
        <w:pageBreakBefore/>
        <w:jc w:val="center"/>
        <w:rPr>
          <w:color w:val="auto"/>
        </w:rPr>
      </w:pPr>
      <w:r>
        <w:rPr>
          <w:color w:val="auto"/>
        </w:rPr>
        <w:lastRenderedPageBreak/>
        <w:t>CHAPTER TWO: LITERATURE REVIEW</w:t>
      </w:r>
    </w:p>
    <w:p w14:paraId="40A813CB" w14:textId="77777777" w:rsidR="00B805E1" w:rsidRPr="00123864" w:rsidRDefault="00000000">
      <w:pPr>
        <w:pStyle w:val="Heading2"/>
        <w:rPr>
          <w:color w:val="auto"/>
        </w:rPr>
      </w:pPr>
      <w:r>
        <w:rPr>
          <w:color w:val="auto"/>
        </w:rPr>
        <w:t>2.1 Introduction to the Literature</w:t>
      </w:r>
    </w:p>
    <w:p w14:paraId="0B0C2519" w14:textId="77777777" w:rsidR="00B805E1" w:rsidRDefault="00000000" w:rsidP="007C7D34">
      <w:pPr>
        <w:spacing w:before="120" w:after="120" w:line="360" w:lineRule="auto"/>
        <w:jc w:val="both"/>
      </w:pPr>
      <w:r>
        <w:t>This chapter reviews the academic and technical literature that underpins the design and implementation of the Intelligent E-learning Platform. The review is organised around the four primary intellectual traditions from which this project draws: Learning Management Systems, adaptive and personalised learning, learning analytics and predictive modelling for student success, and AI-assisted assessment and automatic question generation. Taken together, these four streams of literature both justify the design decisions made in this project and situate it within a broader conversation about the future of technology-enhanced education. The chapter concludes with an analysis of the research gaps that this project directly addresses, a theoretical framework grounding the system in established educational and data science theory, an empirical review of the specific technologies employed, and a discussion of the ethical considerations that informed the system design.</w:t>
      </w:r>
    </w:p>
    <w:p w14:paraId="6BF7D518" w14:textId="77777777" w:rsidR="00B805E1" w:rsidRPr="00123864" w:rsidRDefault="00000000">
      <w:pPr>
        <w:pStyle w:val="Heading2"/>
        <w:rPr>
          <w:color w:val="auto"/>
        </w:rPr>
      </w:pPr>
      <w:r>
        <w:rPr>
          <w:color w:val="auto"/>
        </w:rPr>
        <w:t>2.2 Learning Management Systems</w:t>
      </w:r>
    </w:p>
    <w:p w14:paraId="1DB6EF95" w14:textId="77777777" w:rsidR="00B805E1" w:rsidRDefault="00000000" w:rsidP="007C7D34">
      <w:pPr>
        <w:spacing w:before="120" w:after="120" w:line="360" w:lineRule="auto"/>
        <w:jc w:val="both"/>
      </w:pPr>
      <w:r>
        <w:t>The Learning Management System represents the foundational layer of institutional e-learning infrastructure, and understanding both its achievements and its persistent limitations is essential context for this project. The LMS as a category of educational software emerged in the late 1990s and early 2000s, coinciding with the rapid expansion of broadband internet access and the growing willingness of universities to explore online course delivery as both a pedagogical tool and an institutional strategy (Watson and Bhatt, 2021). Platforms such as Moodle, Blackboard, Desire2Learn, and WebCT were among the earliest widely adopted systems, each offering a core set of features that quickly became the standard expectation for institutional e-learning: a course enrollment mechanism, a content repository where instructors could upload readings and lecture materials, an assignment submission tool, a basic gradebook, and a discussion forum.</w:t>
      </w:r>
    </w:p>
    <w:p w14:paraId="0E11F655" w14:textId="77777777" w:rsidR="00B805E1" w:rsidRDefault="00000000" w:rsidP="007C7D34">
      <w:pPr>
        <w:spacing w:before="120" w:after="120" w:line="360" w:lineRule="auto"/>
        <w:jc w:val="both"/>
      </w:pPr>
      <w:r>
        <w:t xml:space="preserve">By the early 2010s, LMS adoption in higher education had reached near-universal levels in many parts of the world. Watson and Bhatt (2021) documented that the vast majority of universities in North America, Europe, and Australia reported using at least one institutional LMS as their primary platform for course delivery, and the trend was similar across universities in Asia, Latin America, and increasingly in Africa. The sheer ubiquity of the LMS speaks to the genuine logistical value these systems provide: they consolidate </w:t>
      </w:r>
      <w:r>
        <w:lastRenderedPageBreak/>
        <w:t>course administration tasks that would otherwise require separate systems for email communication, file distribution, grade recording, and deadline tracking, and they make course materials accessible to students at any time and from any location.</w:t>
      </w:r>
    </w:p>
    <w:p w14:paraId="6223CE21" w14:textId="77777777" w:rsidR="00B805E1" w:rsidRDefault="00000000" w:rsidP="007C7D34">
      <w:pPr>
        <w:spacing w:before="120" w:after="120" w:line="360" w:lineRule="auto"/>
        <w:jc w:val="both"/>
      </w:pPr>
      <w:r>
        <w:t>However, the limitations of traditional LMS platforms have been documented with equal consistency in the educational technology literature. Dobre (2015) provided one of the clearer articulations of this critique, observing that most LMS platforms are fundamentally designed around the metaphor of a digital filing cabinet rather than a learning environment. Their primary function is storage and access: they tell students where content is located and provide a mechanism for submitting work, but they offer little in the way of guidance about how a student is actually progressing or what they should prioritise doing next. Siemens and Long (2011), in their widely cited articulation of the learning analytics vision, described the dashboards available in platforms like Moodle as reporting primarily on access and activity counts, such as the number of times a student had logged in or the number of pages they had viewed, rather than on meaningful indicators of comprehension or engagement. These simple access logs, they argued, were equivalent to trying to understand student learning by counting how many times they opened a textbook, without any information about whether they had read and understood what they found there.</w:t>
      </w:r>
    </w:p>
    <w:p w14:paraId="12A7AB1F" w14:textId="77777777" w:rsidR="00B805E1" w:rsidRDefault="00000000" w:rsidP="007C7D34">
      <w:pPr>
        <w:spacing w:before="120" w:after="120" w:line="360" w:lineRule="auto"/>
        <w:jc w:val="both"/>
      </w:pPr>
      <w:r>
        <w:t>A second frequently noted limitation of traditional LMS platforms is their one-size-fits-all approach to content delivery. In a conventional LMS, all students enrolled in the same course see the same content in the same order, receive the same assignments, and are assessed against the same criteria. While this consistency has administrative advantages, it does not reflect the reality that students come to courses with vastly different prior knowledge, learning paces, and academic goals. Brusilovsky and Millan (2007) identified this gap as one of the defining motivations for the adaptive learning research agenda, arguing that effective teaching has always involved adapting to the individual learner and that educational software should aspire to the same standard. A third limitation, particularly relevant in the Ghanaian university context, is the resource intensity required to extract insight from LMS data. Even when an LMS generates detailed activity logs, turning those logs into actionable intelligence typically requires specialised data analytics expertise that most institutions do not have on hand. The result is that even when the data needed to identify struggling students exists within the LMS, it rarely reaches anyone in a position to act on it before a student has already failed or disengaged (Alario-Hoyos et al., 2013).</w:t>
      </w:r>
    </w:p>
    <w:p w14:paraId="455C83A7" w14:textId="77777777" w:rsidR="00B805E1" w:rsidRPr="00123864" w:rsidRDefault="00000000">
      <w:pPr>
        <w:pStyle w:val="Heading2"/>
        <w:rPr>
          <w:color w:val="auto"/>
        </w:rPr>
      </w:pPr>
      <w:r>
        <w:rPr>
          <w:color w:val="auto"/>
        </w:rPr>
        <w:lastRenderedPageBreak/>
        <w:t>2.3 Adaptive Learning and Personalisation</w:t>
      </w:r>
    </w:p>
    <w:p w14:paraId="09336AC6" w14:textId="77777777" w:rsidR="00B805E1" w:rsidRDefault="00000000" w:rsidP="007C7D34">
      <w:pPr>
        <w:spacing w:before="120" w:after="120" w:line="360" w:lineRule="auto"/>
        <w:jc w:val="both"/>
      </w:pPr>
      <w:r>
        <w:t>The recognition of the limitations of traditional LMS platforms gave rise to a distinct category of educational technology often referred to as adaptive learning systems or intelligent tutoring systems. These platforms go beyond content delivery by attempting to model the individual learner and adjust the learning experience accordingly. The theoretical foundations of adaptive educational systems were laid by researchers in artificial intelligence and cognitive science in the 1970s and 1980s, but their practical implementation at scale became possible only with the widespread availability of web-based learning environments and the growth of digital educational data (Brusilovsky and Millan, 2007).</w:t>
      </w:r>
    </w:p>
    <w:p w14:paraId="1493DDE3" w14:textId="77777777" w:rsidR="00B805E1" w:rsidRDefault="00000000" w:rsidP="007C7D34">
      <w:pPr>
        <w:spacing w:before="120" w:after="120" w:line="360" w:lineRule="auto"/>
        <w:jc w:val="both"/>
      </w:pPr>
      <w:r>
        <w:t>Brusilovsky and Millan (2007) provided one of the most comprehensive conceptual frameworks for understanding adaptive educational systems in their work on user models for adaptive hypermedia. They distinguished between several categories of learner model: overlay models, which represent student knowledge as a subset of a predefined expert knowledge structure; stereotype models, which classify learners into broad types and tailor content accordingly; and perturbation models, which maintain a detailed record of student errors and misconceptions. Each approach involves a different trade-off between the richness of the learner representation, the amount of data required to build and maintain it, and the complexity of the adaptation logic required to act on it.</w:t>
      </w:r>
    </w:p>
    <w:p w14:paraId="07B40A89" w14:textId="77777777" w:rsidR="00B805E1" w:rsidRDefault="00000000" w:rsidP="007C7D34">
      <w:pPr>
        <w:spacing w:before="120" w:after="120" w:line="360" w:lineRule="auto"/>
        <w:jc w:val="both"/>
      </w:pPr>
      <w:r>
        <w:t xml:space="preserve">In the commercial sphere, systems such as Knewton and Smart Sparrow gained attention in the early 2010s for their ability to adapt content sequencing to individual student responses in real time. Kizilcec et al. (2017) conducted one of the most influential empirical studies of adaptive interventions in the MOOC context, finding that relatively simple goal-setting prompts, delivered at the right moment in a course, produced statistically significant improvements in completion rates among students who showed early signs of disengagement. Their finding was important not only for its practical result but for its methodological lesson: even lightweight adaptive features can have meaningful impact, and sophisticated algorithmic complexity is not always necessary to achieve personalisation that matters. The challenge of building fully adaptive systems is that they typically require extensive content tagging, large validated datasets, and infrastructure investment that places them beyond the reach of small development teams or resource-constrained institutions. This project takes a pragmatic middle path, drawing on the theoretical insights of the adaptive learning literature by implementing a simplified but </w:t>
      </w:r>
      <w:r>
        <w:lastRenderedPageBreak/>
        <w:t>principled content-based recommendation engine rather than attempting to replicate the full complexity of commercial adaptive systems.</w:t>
      </w:r>
    </w:p>
    <w:p w14:paraId="2104DEAC" w14:textId="77777777" w:rsidR="00B805E1" w:rsidRPr="00123864" w:rsidRDefault="00000000">
      <w:pPr>
        <w:pStyle w:val="Heading2"/>
        <w:rPr>
          <w:color w:val="auto"/>
        </w:rPr>
      </w:pPr>
      <w:r>
        <w:rPr>
          <w:color w:val="auto"/>
        </w:rPr>
        <w:t>2.4 Learning Analytics and Predictive Modelling for Student Success</w:t>
      </w:r>
    </w:p>
    <w:p w14:paraId="52DF291A" w14:textId="77777777" w:rsidR="00B805E1" w:rsidRDefault="00000000" w:rsidP="007C7D34">
      <w:pPr>
        <w:spacing w:before="120" w:after="120" w:line="360" w:lineRule="auto"/>
        <w:jc w:val="both"/>
      </w:pPr>
      <w:r>
        <w:t>Learning analytics, as a formal field of research and practice, is generally traced to the late 2000s and the First International Conference on Learning Analytics and Knowledge held in 2011 (Siemens and Long, 2011). The central promise of learning analytics is that the digital traces generated by students in online learning environments constitute actionable evidence about learning processes, and that analysing these traces at scale can support educational decisions that improve outcomes. This promise has driven a large and growing body of empirical research, with particular concentration on the prediction of student success and the early identification of students at risk of disengagement or failure.</w:t>
      </w:r>
    </w:p>
    <w:p w14:paraId="5638A243" w14:textId="77777777" w:rsidR="00B805E1" w:rsidRDefault="00000000" w:rsidP="007C7D34">
      <w:pPr>
        <w:spacing w:before="120" w:after="120" w:line="360" w:lineRule="auto"/>
        <w:jc w:val="both"/>
      </w:pPr>
      <w:r>
        <w:t>Romero and Ventura (2013) provided a comprehensive survey of educational data mining techniques that remains one of the most widely cited reviews in the field. They documented the application of logistic regression, decision trees, support vector machines, and neural networks to a wide range of prediction problems in educational settings, including the prediction of final grades, the identification of dropout risk, and the detection of disengaged learners. Their review concluded that tree-based ensemble methods, including random forests, tended to perform particularly well on structured tabular data of the kind generated by LMS activity logs, offering a good balance between predictive accuracy and interpretability. This finding directly informed the choice of scikit-learn's RandomForestRegressor as the prediction engine in this project.</w:t>
      </w:r>
    </w:p>
    <w:p w14:paraId="55B5B9AF" w14:textId="77777777" w:rsidR="00B805E1" w:rsidRDefault="00000000" w:rsidP="007C7D34">
      <w:pPr>
        <w:spacing w:before="120" w:after="120" w:line="360" w:lineRule="auto"/>
        <w:jc w:val="both"/>
      </w:pPr>
      <w:r>
        <w:t>One of the most influential real-world implementations of learning analytics for student success prediction was the Course Signals system developed at Purdue University and described by Arnold and Pistilli (2012). Course Signals used a combination of academic performance data, platform engagement data, and student background characteristics to generate a traffic-light risk indicator that instructors could see for every enrolled student. When instructors acted on these signals by reaching out to students identified as at risk, retention and grade outcomes improved measurably compared to control sections where the system was not used. The Purdue study was seminal because it demonstrated the practical impact of embedding predictive analytics directly into the learning environment, and it established the basic model of predicting risk, communicating that prediction, and triggering intervention that numerous subsequent systems have followed.</w:t>
      </w:r>
    </w:p>
    <w:p w14:paraId="37A14425" w14:textId="77777777" w:rsidR="00B805E1" w:rsidRDefault="00000000" w:rsidP="007C7D34">
      <w:pPr>
        <w:spacing w:before="120" w:after="120" w:line="360" w:lineRule="auto"/>
        <w:jc w:val="both"/>
      </w:pPr>
      <w:r>
        <w:lastRenderedPageBreak/>
        <w:t>Hussain et al. (2019) demonstrated that machine learning models trained on clickstream data and quiz performance could predict student success with accuracy rates exceeding 80 percent in controlled university settings, using a feature set that included time-on-task, frequency of platform access, and assessment scores. Their work is directly analogous to the prediction approach taken in this project, where progress percentage, total time spent, and average quiz score serve as input features to the pre-trained model. Baker and Inventado (2014) extended this perspective by arguing that the field had matured sufficiently to move beyond purely predictive models towards explanatory analyses capable of informing instructional design, a direction that this project acknowledges as an important target for future development. A further relevant strand concerns the reliability of time-on-task as a proxy for learning, a question with roots in Carroll's (1963) foundational model of school learning. Subsequent empirical research has established that while time-on-task is positively correlated with academic achievement, the correlation is moderated by the quality of engagement rather than time alone (Fredricks et al., 2004), which is why this project uses time spent as one of several features in the prediction model rather than treating it as a sufficient indicator on its own.</w:t>
      </w:r>
    </w:p>
    <w:p w14:paraId="40C0038D" w14:textId="77777777" w:rsidR="00B805E1" w:rsidRPr="00123864" w:rsidRDefault="00000000">
      <w:pPr>
        <w:pStyle w:val="Heading2"/>
        <w:rPr>
          <w:color w:val="auto"/>
        </w:rPr>
      </w:pPr>
      <w:r>
        <w:rPr>
          <w:color w:val="auto"/>
        </w:rPr>
        <w:t>2.5 Automatic Question Generation and AI-Assisted Assessment</w:t>
      </w:r>
    </w:p>
    <w:p w14:paraId="21551656" w14:textId="77777777" w:rsidR="00B805E1" w:rsidRDefault="00000000" w:rsidP="007C7D34">
      <w:pPr>
        <w:spacing w:before="120" w:after="120" w:line="360" w:lineRule="auto"/>
        <w:jc w:val="both"/>
      </w:pPr>
      <w:r>
        <w:t>Assessment is one of the most resource-intensive activities in formal education, and the prospect of automating part of this process has attracted researchers since the earliest days of natural language processing. Early computational approaches relied on rule-based methods, including template matching and syntactic transformation, to extract information from source texts and rephrase it as quiz items. Mitkov and Ha (2003) described one of the earliest and most systematic implementations of this approach, using parsing and semantic analysis to generate fill-in-the-blank and multiple-choice questions from educational texts. While these methods produced syntactically correct questions, their coverage was limited by the rigidity of the rules applied, and the questions they generated were frequently too simple or too closely tied to surface features of the text to constitute genuine comprehension assessments.</w:t>
      </w:r>
    </w:p>
    <w:p w14:paraId="58469A1D" w14:textId="77777777" w:rsidR="00B805E1" w:rsidRDefault="00000000" w:rsidP="007C7D34">
      <w:pPr>
        <w:spacing w:before="120" w:after="120" w:line="360" w:lineRule="auto"/>
        <w:jc w:val="both"/>
      </w:pPr>
      <w:r>
        <w:t xml:space="preserve">Kurdi et al. (2020) conducted a comprehensive systematic review of the automatic question generation literature, covering over forty empirical studies published between 2003 and 2019. Their review charted the evolution from rule-based systems to neural approaches and concluded that the introduction of transformer-based language models had fundamentally </w:t>
      </w:r>
      <w:r>
        <w:lastRenderedPageBreak/>
        <w:t>changed the quality ceiling for automatically generated questions. Neural models consistently outperformed rule-based approaches on multiple dimensions, including fluency, relevance to the source text, appropriate difficulty, and the plausibility of distractors in multiple-choice formats. The release of GPT-3 by OpenAI in 2020 marked a further turning point. Moore et al. (2022) conducted one of the earliest rigorous empirical evaluations of GPT-3 for educational question generation, finding that human subject-matter experts frequently could not distinguish machine-generated from human-authored multiple-choice questions, and that both achieved similarly acceptable ratings on quality, relevance, and suitability for classroom use. The integration of the Google Gemini API in this project follows directly from this line of evidence, applying the same principle within a practical full-stack setting.</w:t>
      </w:r>
    </w:p>
    <w:p w14:paraId="27931F35" w14:textId="77777777" w:rsidR="00B805E1" w:rsidRPr="00123864" w:rsidRDefault="00000000">
      <w:pPr>
        <w:pStyle w:val="Heading2"/>
        <w:rPr>
          <w:color w:val="auto"/>
        </w:rPr>
      </w:pPr>
      <w:r>
        <w:rPr>
          <w:color w:val="auto"/>
        </w:rPr>
        <w:t>2.6 Research Gaps</w:t>
      </w:r>
    </w:p>
    <w:p w14:paraId="5220F178" w14:textId="77777777" w:rsidR="00B805E1" w:rsidRDefault="00000000" w:rsidP="007C7D34">
      <w:pPr>
        <w:spacing w:before="120" w:after="120" w:line="360" w:lineRule="auto"/>
        <w:jc w:val="both"/>
      </w:pPr>
      <w:r>
        <w:t>Reading across the four streams of literature reviewed above, a persistent and consequential gap becomes apparent: the near-total absence of systems that bring all of these capabilities together in a single integrated platform, particularly in the context of resource-constrained institutions in sub-Saharan Africa. When researchers build predictive models for student success, they typically do so as offline analyses applied to historical data exported from existing LMS platforms, not as live components embedded in the learning environment itself (Romero and Ventura, 2013). When adaptive platforms are built, they tend to focus on content sequencing and leave assessment generation to human instructors (Brusilovsky and Millan, 2007). When automatic question generation tools are evaluated, they are almost always tested as standalone prototypes rather than as features embedded within a broader learning management workflow (Kurdi et al., 2020).</w:t>
      </w:r>
    </w:p>
    <w:p w14:paraId="54DC71CB" w14:textId="77777777" w:rsidR="00B805E1" w:rsidRDefault="00000000" w:rsidP="007C7D34">
      <w:pPr>
        <w:spacing w:before="120" w:after="120" w:line="360" w:lineRule="auto"/>
        <w:jc w:val="both"/>
      </w:pPr>
      <w:r>
        <w:t xml:space="preserve">Alario-Hoyos et al. (2013) described this as the ecosystem problem in educational technology: the proliferation of specialised tools that do not communicate with each other creates friction for learners and reduces the chance that any single system can provide a holistic picture of learning. A student who is falling behind needs to know that they are at risk, understand what is driving that risk, receive a suggestion for what to do next, and have access to practice resources, all within the same interface and ideally within the same session. Existing solutions provide some of these elements individually, but rarely all of them together, and almost never in a form that is economically and technically accessible to institutions outside the well-funded university sector of North America and Europe. This </w:t>
      </w:r>
      <w:r>
        <w:lastRenderedPageBreak/>
        <w:t>project is a direct response to that gap, offering not a theoretical framework for integration but a working demonstration that the integration is achievable at a scale and cost appropriate for a final-year undergraduate project.</w:t>
      </w:r>
    </w:p>
    <w:p w14:paraId="2806537C" w14:textId="77777777" w:rsidR="00B805E1" w:rsidRPr="00123864" w:rsidRDefault="00000000">
      <w:pPr>
        <w:pStyle w:val="Heading2"/>
        <w:rPr>
          <w:color w:val="auto"/>
        </w:rPr>
      </w:pPr>
      <w:r>
        <w:rPr>
          <w:color w:val="auto"/>
        </w:rPr>
        <w:t>2.7 Theoretical Framework</w:t>
      </w:r>
    </w:p>
    <w:p w14:paraId="15BD949D" w14:textId="77777777" w:rsidR="00B805E1" w:rsidRDefault="00000000" w:rsidP="007C7D34">
      <w:pPr>
        <w:spacing w:before="120" w:after="120" w:line="360" w:lineRule="auto"/>
        <w:jc w:val="both"/>
      </w:pPr>
      <w:r>
        <w:t>The design of this system is grounded in four theoretical pillars drawn from the educational technology and data science literature, each of which shapes a distinct component of the platform. The first pillar is learner modelling theory, which holds that an effective adaptive system must maintain a dynamic, updatable representation of each student's knowledge state, learning pace, and preferences (Brusilovsky and Millan, 2007). In this project, the learner model takes a deliberately lightweight form: the StudentProfile model stores interest areas, while the LessonProgress and QuizSubmission models capture behavioural evidence of engagement and competence.</w:t>
      </w:r>
    </w:p>
    <w:p w14:paraId="24FB1956" w14:textId="77777777" w:rsidR="00B805E1" w:rsidRDefault="00000000" w:rsidP="007C7D34">
      <w:pPr>
        <w:spacing w:before="120" w:after="120" w:line="360" w:lineRule="auto"/>
        <w:jc w:val="both"/>
      </w:pPr>
      <w:r>
        <w:t>The second pillar is educational data mining, which Romero and Ventura (2013) define as the application of data mining and machine learning techniques to data originating from educational settings with the goal of better understanding how students learn. The prediction model in this system applies this principle directly: raw interaction logs are aggregated into structured feature vectors and processed by a trained classifier to estimate the probability of course completion success. The third pillar is content-based filtering, which is the branch of recommender systems theory most relevant to the course recommendation engine. Unlike collaborative filtering, which relies on identifying similar users, content-based filtering matches items to a user based on the properties of items they have previously expressed interest in (Lops et al., 2011), and the recommendation engine in this platform follows this approach precisely.</w:t>
      </w:r>
    </w:p>
    <w:p w14:paraId="5007CAF6" w14:textId="77777777" w:rsidR="00B805E1" w:rsidRDefault="00000000" w:rsidP="007C7D34">
      <w:pPr>
        <w:spacing w:before="120" w:after="120" w:line="360" w:lineRule="auto"/>
        <w:jc w:val="both"/>
      </w:pPr>
      <w:r>
        <w:t>The fourth pillar is predictive analytics for student success, which frames the outcome of interest as a classification problem amenable to machine learning. This framing is consistent with a long line of work in learning analytics from the early Course Signals system at Purdue (Arnold and Pistilli, 2012) to more recent ensemble-based approaches (Hussain et al., 2019). The choice of a pre-trained scikit-learn model serialised with joblib reflects a pragmatic application of this theory: the goal is not a novel ML architecture but a demonstration that even a straightforward classifier trained on structured progress data can produce actionable predictions within a live web application.</w:t>
      </w:r>
    </w:p>
    <w:p w14:paraId="56022D96" w14:textId="77777777" w:rsidR="00B805E1" w:rsidRPr="00123864" w:rsidRDefault="00000000">
      <w:pPr>
        <w:pStyle w:val="Heading2"/>
        <w:rPr>
          <w:color w:val="auto"/>
        </w:rPr>
      </w:pPr>
      <w:r>
        <w:rPr>
          <w:color w:val="auto"/>
        </w:rPr>
        <w:lastRenderedPageBreak/>
        <w:t>2.8 Empirical Review</w:t>
      </w:r>
    </w:p>
    <w:p w14:paraId="2C9BB4C0" w14:textId="77777777" w:rsidR="00B805E1" w:rsidRDefault="00000000" w:rsidP="007C7D34">
      <w:pPr>
        <w:spacing w:before="120" w:after="120" w:line="360" w:lineRule="auto"/>
        <w:jc w:val="both"/>
      </w:pPr>
      <w:r>
        <w:t>Beyond theoretical grounding, each core technical component of this project is supported by empirical evidence from published research. Django and the Django REST Framework have become a standard choice for research prototype backends requiring rapid development and clean REST API semantics. Christie and Cole (2020) noted that Django's built-in ORM, serializer validation system, and authentication middleware make it particularly well-suited for applications where data integrity must be enforced at the framework level rather than implemented manually, and several published e-learning prototypes have used Django specifically for its ability to model complex relational schemas like the Course-Module-Lesson hierarchy in this project.</w:t>
      </w:r>
    </w:p>
    <w:p w14:paraId="6C71FABF" w14:textId="77777777" w:rsidR="00B805E1" w:rsidRDefault="00000000" w:rsidP="007C7D34">
      <w:pPr>
        <w:spacing w:before="120" w:after="120" w:line="360" w:lineRule="auto"/>
        <w:jc w:val="both"/>
      </w:pPr>
      <w:r>
        <w:t>On the frontend, React has established itself as the dominant component-based library for building dynamic web interfaces, and Vite has emerged as the preferred build tool for new projects due to its significantly faster hot-module replacement compared to older bundlers, a characteristic that translates directly into a more productive development workflow (Vite Documentation, 2024). For machine learning deployment, the combination of scikit-learn and joblib has become the de facto standard in Python web applications. Pedregosa et al. (2011) introduced scikit-learn as a library designed precisely for practical, applied machine learning on structured tabular data, and the choice of joblib for model persistence ensures that the trained classifier can be loaded into a running Django process with minimal overhead, making real-time prediction endpoints feasible without dedicated model serving infrastructure. The use of Google's Gemini API for quiz generation reflects the broader empirical trend documented by Moore et al. (2022), who found that contemporary large language models consistently produce multiple-choice questions rated as educationally valid by human subject-matter experts.</w:t>
      </w:r>
    </w:p>
    <w:p w14:paraId="6BAD58C9" w14:textId="77777777" w:rsidR="00B805E1" w:rsidRPr="00123864" w:rsidRDefault="00000000">
      <w:pPr>
        <w:pStyle w:val="Heading2"/>
        <w:rPr>
          <w:color w:val="auto"/>
        </w:rPr>
      </w:pPr>
      <w:r>
        <w:rPr>
          <w:color w:val="auto"/>
        </w:rPr>
        <w:t>2.9 Ethical Considerations</w:t>
      </w:r>
    </w:p>
    <w:p w14:paraId="74340A55" w14:textId="77777777" w:rsidR="00B805E1" w:rsidRDefault="00000000" w:rsidP="007C7D34">
      <w:pPr>
        <w:spacing w:before="120" w:after="120" w:line="360" w:lineRule="auto"/>
        <w:jc w:val="both"/>
      </w:pPr>
      <w:r>
        <w:t xml:space="preserve">Building a system that collects fine-grained behavioural data about students and uses that data to make predictions about their academic futures raises ethical questions that deserve explicit attention. Prinsloo and Slade (2014) argued that the learning analytics community has been slow to grapple seriously with the ethical dimensions of student data use, often proceeding on the assumption that because data are collected for educational purposes, their use is inherently benign. This project does not take that assumption for granted. In its current prototype form, the system implements token-based authentication through Django </w:t>
      </w:r>
      <w:r>
        <w:lastRenderedPageBreak/>
        <w:t>REST Framework, ensuring that only authenticated users can access or modify their own data, with all unauthenticated requests returning HTTP 401 responses.</w:t>
      </w:r>
    </w:p>
    <w:p w14:paraId="0B7D4DB4" w14:textId="77777777" w:rsidR="00B805E1" w:rsidRDefault="00000000" w:rsidP="007C7D34">
      <w:pPr>
        <w:spacing w:before="120" w:after="120" w:line="360" w:lineRule="auto"/>
        <w:jc w:val="both"/>
      </w:pPr>
      <w:r>
        <w:t>For a production deployment, several additional requirements would need to be addressed. Students should be clearly informed about what data are collected, how they are used in the prediction model, and what decisions are made on the basis of model output, consistent with the transparency principles articulated in the General Data Protection Regulation (European Parliament and Council, 2018) and echoed by Ferguson et al. (2016) in their code of practice for learning analytics. The Gemini API key must be stored securely in server-side environment variables and never exposed to the client. A data retention policy should specify how long interaction logs are kept. The prediction model itself requires particular ethical attention: Kizilcec and Lee (2022) demonstrated that predictive models trained on historically biased educational data can systematically underestimate the success probability of students from underrepresented groups, and any future deployment of this system should include regular fairness audits of model predictions disaggregated by student demographic characteristics.</w:t>
      </w:r>
    </w:p>
    <w:p w14:paraId="611A9861" w14:textId="77777777" w:rsidR="00B805E1" w:rsidRPr="00123864" w:rsidRDefault="00000000">
      <w:pPr>
        <w:pStyle w:val="Heading2"/>
        <w:rPr>
          <w:color w:val="auto"/>
        </w:rPr>
      </w:pPr>
      <w:r>
        <w:rPr>
          <w:color w:val="auto"/>
        </w:rPr>
        <w:t>2.10 Summary</w:t>
      </w:r>
    </w:p>
    <w:p w14:paraId="54549E99" w14:textId="77777777" w:rsidR="00B805E1" w:rsidRDefault="00000000" w:rsidP="007C7D34">
      <w:pPr>
        <w:spacing w:before="120" w:after="120" w:line="360" w:lineRule="auto"/>
        <w:jc w:val="both"/>
      </w:pPr>
      <w:r>
        <w:t>This chapter has reviewed the intellectual foundations of the Intelligent E-learning Platform across four interconnected fields. The review of Learning Management Systems established the context of existing practice and identified the specific limitations that this project addresses. The adaptive learning literature provided theoretical grounding for the recommendation and personalisation features. The learning analytics literature supplied empirical evidence for the efficacy of predictive modelling and informed the specific feature design choices reflected in the success prediction engine. The automatic question generation literature validated the use of large language models for AI-assisted assessment and supported the choice of the Gemini API. The research gaps identified across these four fields, and in particular the near-total absence of integrated platforms combining all of these capabilities in a form accessible to resource-constrained institutions, provide a clear and well-grounded rationale for the design choices made in the remainder of this project.</w:t>
      </w:r>
    </w:p>
    <w:p w14:paraId="4D5539DC" w14:textId="77777777" w:rsidR="00B805E1" w:rsidRPr="00123864" w:rsidRDefault="00000000">
      <w:pPr>
        <w:pStyle w:val="Heading1"/>
        <w:pageBreakBefore/>
        <w:rPr>
          <w:color w:val="auto"/>
        </w:rPr>
      </w:pPr>
      <w:r>
        <w:rPr>
          <w:color w:val="auto"/>
        </w:rPr>
        <w:lastRenderedPageBreak/>
        <w:t>CHAPTER THREE: RESEARCH METHODOLOGY</w:t>
      </w:r>
    </w:p>
    <w:p w14:paraId="59998470" w14:textId="77777777" w:rsidR="00B805E1" w:rsidRPr="00123864" w:rsidRDefault="00000000">
      <w:pPr>
        <w:pStyle w:val="Heading2"/>
        <w:rPr>
          <w:color w:val="auto"/>
        </w:rPr>
      </w:pPr>
      <w:r>
        <w:rPr>
          <w:color w:val="auto"/>
        </w:rPr>
        <w:t>3.1 Research Approach</w:t>
      </w:r>
    </w:p>
    <w:p w14:paraId="717A9C85" w14:textId="77777777" w:rsidR="00874E82" w:rsidRPr="00874E82" w:rsidRDefault="00874E82" w:rsidP="00874E82">
      <w:pPr>
        <w:pStyle w:val="Heading2"/>
        <w:spacing w:line="360" w:lineRule="auto"/>
        <w:rPr>
          <w:b w:val="0"/>
          <w:bCs w:val="0"/>
          <w:color w:val="auto"/>
          <w:sz w:val="24"/>
          <w:szCs w:val="24"/>
        </w:rPr>
      </w:pPr>
      <w:r>
        <w:rPr>
          <w:b w:val="0"/>
          <w:bCs w:val="0"/>
          <w:color w:val="auto"/>
          <w:sz w:val="24"/>
          <w:szCs w:val="24"/>
        </w:rPr>
        <w:t>This project is based on the applied development research method and research paradigm. Applied development research is a well known computer science, software engineering and educational technology methodology, and it can be distinguished from other types of development research, such as purely theoretical research and purely empirical social science research, in that it focuses on the creation of a working, testable product as the research tool rather than on any other kind of product. In this method the research contribution is not a new theorem, a philosophical argument, or even a collection of collected survey data; it is an existing system that proves, in its very existence and working, that a certain set of technical and pedagogical concepts can be implemented. Every design decision taken during the construction of the Intelligent E-learning Platform such as the decision to build it using Django, which is a backend framework, instead of some other alternative, or to use a RandomForestRegressor instead of a less complex classification algorithm, is itself a proposition that could be the subject of research and a system that is researched is only as valid as its operation.</w:t>
      </w:r>
    </w:p>
    <w:p w14:paraId="07D3805F" w14:textId="77777777" w:rsidR="00874E82" w:rsidRDefault="00874E82" w:rsidP="00874E82">
      <w:pPr>
        <w:pStyle w:val="Heading2"/>
        <w:spacing w:line="360" w:lineRule="auto"/>
        <w:rPr>
          <w:b w:val="0"/>
          <w:bCs w:val="0"/>
          <w:color w:val="auto"/>
          <w:sz w:val="24"/>
          <w:szCs w:val="24"/>
        </w:rPr>
      </w:pPr>
      <w:r>
        <w:rPr>
          <w:b w:val="0"/>
          <w:bCs w:val="0"/>
          <w:color w:val="auto"/>
          <w:sz w:val="24"/>
          <w:szCs w:val="24"/>
        </w:rPr>
        <w:t>The applied development approach that has been followed is based on the design science research paradigm as described by Hevner et al. (2004): a research paradigm that aims to push the boundaries of human and organizational capability through the development of new and innovative artifacts. According to Hevner and his colleagues' words, design science research involves repeated cycles of construction and evaluation, where each iteration of the artifact is tested with a set of criteria that have been based on the problem it is designed to address, and the evaluations result in a subsequent iteration of the artifact. This project adopts this approach! The platform was not designed as a single massive deliverable, but rather built in stages, starting with the core database schema and authentication layer, and then extending with the course and lesson management endpoints, the machine learning prediction model and the integration of the recommendation engine and the generation of quizzes with the Gemini AI model. In each cycle the developed component was subjected to test in the functional and technical objectives set before a new component is developed. This iterative and 'artefact centred' process is typical of applied development research and different from a traditional software development process.</w:t>
      </w:r>
    </w:p>
    <w:p w14:paraId="57F07F46" w14:textId="77777777" w:rsidR="00B805E1" w:rsidRPr="00123864" w:rsidRDefault="00000000" w:rsidP="00874E82">
      <w:pPr>
        <w:pStyle w:val="Heading2"/>
        <w:rPr>
          <w:color w:val="auto"/>
        </w:rPr>
      </w:pPr>
      <w:r>
        <w:rPr>
          <w:color w:val="auto"/>
        </w:rPr>
        <w:lastRenderedPageBreak/>
        <w:t>3.2 Type of Research</w:t>
      </w:r>
    </w:p>
    <w:p w14:paraId="404F7433" w14:textId="77777777" w:rsidR="00304797" w:rsidRDefault="00304797" w:rsidP="007C7D34">
      <w:pPr>
        <w:spacing w:before="120" w:after="120" w:line="360" w:lineRule="auto"/>
        <w:jc w:val="both"/>
      </w:pPr>
      <w:r>
        <w:t>This project's research is applied quantitative. This classification is based on two different, but related, aspects of the work. Applied dimension is the dimension discussed in the previous chapter, the dimension of the focus of the research which is to create a working product and not only theoretical knowledge. The quantitative dimension is related to the type of data that the system is collecting, processing and creating. All of the variables in the analytical and prediction portions of the system are numerically representable, measurable either continuously or discretely and can be handled arithmetically. This congruence of the applied engineering context and the quantitative analytical approach is not a coincidence and is based on an explicit methodological decision on the well-known appropriateness of numerical methods for the type of behavioral traces that e-learning platforms produce.</w:t>
      </w:r>
    </w:p>
    <w:p w14:paraId="4329A537" w14:textId="77777777" w:rsidR="00304797" w:rsidRDefault="00304797" w:rsidP="007C7D34">
      <w:pPr>
        <w:spacing w:before="120" w:after="120" w:line="360" w:lineRule="auto"/>
        <w:jc w:val="both"/>
      </w:pPr>
      <w:r>
        <w:t>The system collects and stores a set of variables of a strictly numerical nature at the level of the data fields at a specific moment: these variables represent the input raw material on which all the analytical outputs are built. The value of the completion status of a lesson is a binary integer: 0 means that it has not been completed by a student, 1 means that a student has marked the lesson as completed. The length of each lesson is represented as a whole number (total seconds) which represents the time the student actively engaged in the content of the lesson over all visits. Enrollment progress percentage is a percentage that is constantly updated between 0 and 100 that shows the number of lessons completed compared to the total number of lessons in an enrollment. The Quiz scores are also recorded as floating numbers, which show the percentage of questions answered correctly in each Quiz attempt. No categorical field, there is no field which is an ordinal with no magnitude, there is no field which is a free text field; all fields are numerical fields; it is also possible to use them as features without any transformation/encoding step in the machine learning model, or, to pass to an arithmetic aggregation function, without any transformation/encoding step.</w:t>
      </w:r>
    </w:p>
    <w:p w14:paraId="2FB3FCE8" w14:textId="77777777" w:rsidR="00304797" w:rsidRDefault="00304797" w:rsidP="007C7D34">
      <w:pPr>
        <w:spacing w:before="120" w:after="120" w:line="360" w:lineRule="auto"/>
        <w:jc w:val="both"/>
      </w:pPr>
      <w:r>
        <w:t xml:space="preserve">The results of the system also are quantitative. The value returned by the success prediction endpoint is a float, ranging from 0 being low probability to succeed to 1 being high probability to succeed. The recommendation engine produces a course list ordered by a numeric value which is a weighted sum of the courses' matching interest weight and the courses' popularity weight based on enrollment. The success rate indicates how well the Gemini API generates multiple-choice questions with structurally valid question sets </w:t>
      </w:r>
      <w:r>
        <w:lastRenderedPageBreak/>
        <w:t>during testing as a ratio to the total number of texts used for testing. The numbers that come out of these are exactly the sort of measurable, reproducible output that is appropriate to use in testing the system to decide whether it works or not – a go/no-go decision – and the only sort of test that can be performed is a test of applied research.</w:t>
      </w:r>
    </w:p>
    <w:p w14:paraId="26FA2687" w14:textId="77777777" w:rsidR="00B805E1" w:rsidRDefault="00304797" w:rsidP="007C7D34">
      <w:pPr>
        <w:spacing w:before="120" w:after="120" w:line="360" w:lineRule="auto"/>
        <w:jc w:val="both"/>
      </w:pPr>
      <w:r>
        <w:t>It is important to note what is not included and what is included with this classification. At this stage there is no qualitative data (deliberate) involved in the project. No student interviewing, open-ended survey responses, focus group discussions, instructor observations and no textual feedback forms. This exclusion is a principled one, not a practical limitation. The questions this project aims to answer concerning meaningful success for engagement data, a content based recommender to generate relevant course rankings, and a large language model API to generate educationally valid assessment items are all questions that can be answered quantitatively by analyzing the output of the system. The use of qualitative methods of data collection would also be methodologically complex and the ethical issues concerning ethical review procedures, informed consent and data anonymisation would be too complex for a prototype project completed in the final year of study. It is not therefore taken for granted that the quantitative approach is the default or limiting approach to research, but the most appropriate and proportionate approach for the objectives in Chapter One.</w:t>
      </w:r>
    </w:p>
    <w:p w14:paraId="65A4BF24" w14:textId="77777777" w:rsidR="00B805E1" w:rsidRPr="00123864" w:rsidRDefault="00000000">
      <w:pPr>
        <w:pStyle w:val="Heading2"/>
        <w:rPr>
          <w:color w:val="auto"/>
        </w:rPr>
      </w:pPr>
      <w:r>
        <w:rPr>
          <w:color w:val="auto"/>
        </w:rPr>
        <w:t>3.3 Data Collection Methods</w:t>
      </w:r>
    </w:p>
    <w:p w14:paraId="7C45A775" w14:textId="77777777" w:rsidR="00B805E1" w:rsidRDefault="00000000" w:rsidP="007C7D34">
      <w:pPr>
        <w:spacing w:before="120" w:after="120" w:line="360" w:lineRule="auto"/>
        <w:jc w:val="both"/>
      </w:pPr>
      <w:r>
        <w:t>Data are collected automatically through user interactions with the platform. Enrollment records are created each time a student enrolls in a course, linking the student to the course with a timestamp and an initial progress percentage of zero. Lesson progress logs are updated each time a student views a lesson, recording the completion status and accumulated time spent in seconds. Quiz submissions are stored with the student's score and submission timestamp for every attempt. Student interest profiles are recorded when students provide or update their interest areas, such as Python, Data Science, or Web Development, via their profile settings. No external data sources were used; all data are generated through normal system use and through synthetic data generation utilities created specifically for development and testing purposes.</w:t>
      </w:r>
    </w:p>
    <w:p w14:paraId="17363C7A" w14:textId="77777777" w:rsidR="00304797" w:rsidRDefault="00304797">
      <w:pPr>
        <w:pStyle w:val="Heading2"/>
        <w:rPr>
          <w:color w:val="auto"/>
        </w:rPr>
      </w:pPr>
    </w:p>
    <w:p w14:paraId="16BAC94C" w14:textId="77777777" w:rsidR="00304797" w:rsidRDefault="00304797">
      <w:pPr>
        <w:pStyle w:val="Heading2"/>
        <w:rPr>
          <w:color w:val="auto"/>
        </w:rPr>
      </w:pPr>
    </w:p>
    <w:p w14:paraId="16C92C33" w14:textId="77777777" w:rsidR="00B805E1" w:rsidRPr="00123864" w:rsidRDefault="00000000">
      <w:pPr>
        <w:pStyle w:val="Heading2"/>
        <w:rPr>
          <w:color w:val="auto"/>
        </w:rPr>
      </w:pPr>
      <w:r>
        <w:rPr>
          <w:color w:val="auto"/>
        </w:rPr>
        <w:lastRenderedPageBreak/>
        <w:t>3.4 Sampling Technique</w:t>
      </w:r>
    </w:p>
    <w:p w14:paraId="3EB14DDC" w14:textId="77777777" w:rsidR="00304797" w:rsidRDefault="00304797" w:rsidP="007C7D34">
      <w:pPr>
        <w:spacing w:before="120" w:after="120" w:line="360" w:lineRule="auto"/>
        <w:jc w:val="both"/>
      </w:pPr>
      <w:r>
        <w:t>The data collected in this project is collected automatically and integrated into the operation of the platform. There is no distinct data collection period outside of system usage; any interaction that occurs between the student and/or instructor are each captured in a structured log, and are immediately written to the database. This is in line with the data collection method of clickstream and interaction log data in e-learning research as described by Hussain et al. (2019) in predicting student engagement in online learning environments. This method is better than survey and/or interview data collection methods because it generates continuous, high-resolution data on actual learning behaviour, and not retrospective reports of one's own behaviour where there is a possibility for recall bias and social desirability bias. Numbers that are gathered by this system represent what students are doing, not what they remember doing or can report.</w:t>
      </w:r>
    </w:p>
    <w:p w14:paraId="3304C6A4" w14:textId="77777777" w:rsidR="00304797" w:rsidRDefault="00304797" w:rsidP="007C7D34">
      <w:pPr>
        <w:spacing w:before="120" w:after="120" w:line="360" w:lineRule="auto"/>
        <w:jc w:val="both"/>
      </w:pPr>
      <w:r>
        <w:t>There are two types of data that are gathered: Enrollment Data. The database stores a record of the student's enrollment request from React when a student accesses a course and clicks the “Enroll”” button on the React frontend, and the database creates a record of the enrollment request in the database. This record sets the time when the student was enrolled in the course, the beginning of their interaction with the course, and initialises the progress_percentage to a value of zero. Every lesson completion and quiz submission is referenced to the appropriate enrollment via the database schema, and the enrollment record is the foundation for all other progress monitoring. This is a structural option that ensures that progress data will always be related to a student's specific course, and not a generic overall progress record for the student.</w:t>
      </w:r>
    </w:p>
    <w:p w14:paraId="594553A0" w14:textId="77777777" w:rsidR="00304797" w:rsidRDefault="00304797" w:rsidP="007C7D34">
      <w:pPr>
        <w:spacing w:before="120" w:after="120" w:line="360" w:lineRule="auto"/>
        <w:jc w:val="both"/>
      </w:pPr>
      <w:r>
        <w:t>Lesson progress data is in the second category. When students log in to a lesson and access and interact with the content, the platform logs or updates a LessonProgress data which includes the lesson identifier, the student identifier, the completed state (Boolean), and the total seconds spent on the lesson. As students return to a lesson, the time tracking mechanism will add to the total time spent on that lesson, rather than only the most recent time spent on the lesson. Any student who marks a lesson as complete will also have the is_completed field set to True, and will cause the parent enrollment record to update their progress_percentage to be the new ratio of completed lessons to total. This recalculation occurs in the same database transaction as the progress update and the progress figure shown to the student will always be consistent with the progression related to the student's completion records.</w:t>
      </w:r>
    </w:p>
    <w:p w14:paraId="53A5F6FE" w14:textId="77777777" w:rsidR="00B805E1" w:rsidRDefault="00304797" w:rsidP="007C7D34">
      <w:pPr>
        <w:spacing w:before="120" w:after="120" w:line="360" w:lineRule="auto"/>
        <w:jc w:val="both"/>
      </w:pPr>
      <w:r>
        <w:lastRenderedPageBreak/>
        <w:t>The third is data from quiz submissions. The backend records a QuizSubmission record on the platform upon completion of a quiz, associated with a lesson, and submission of the student's answers, containing the Quiz identifier, the Student identifier, a time stamp of when the student submitted the answers, and the final score, as a percentage of the questions answered correctly. Multiple attempts are accepted and each attempt stored as its own record, so that the system can monitor progress across attempts and, depending on the analysis, the most recent or best (highest) score used as input features for the prediction model. Student Interest Profile Data is the fourth category. A student may add free-text tags to their profile when they make or edit their profile, for example by using Python, Machine Learning, Web Development, or Data Science. The tags are stored in the StudentProfile model which are compared with the course metadata tags to determine the recommended courses. No external data sources were accessed during the project – every bit of training data and test data was created by interacting with the platform as if one were a user, or by a specially coded command in the training data generation system to generate a specific test record to be added to the development database.</w:t>
      </w:r>
    </w:p>
    <w:p w14:paraId="21014E42" w14:textId="77777777" w:rsidR="00B805E1" w:rsidRPr="00123864" w:rsidRDefault="00000000">
      <w:pPr>
        <w:pStyle w:val="Heading2"/>
        <w:rPr>
          <w:color w:val="auto"/>
        </w:rPr>
      </w:pPr>
      <w:r>
        <w:rPr>
          <w:color w:val="auto"/>
        </w:rPr>
        <w:t>3.5 Instruments and Tools Used</w:t>
      </w:r>
    </w:p>
    <w:p w14:paraId="4A24079A" w14:textId="77777777" w:rsidR="00B805E1" w:rsidRDefault="00B80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466A93" w14:paraId="6DF8722E" w14:textId="77777777" w:rsidTr="00123864">
        <w:tc>
          <w:tcPr>
            <w:tcW w:w="2800" w:type="dxa"/>
            <w:shd w:val="clear" w:color="auto" w:fill="FFFFFF" w:themeFill="background1"/>
            <w:tcMar>
              <w:top w:w="80" w:type="dxa"/>
              <w:left w:w="160" w:type="dxa"/>
              <w:bottom w:w="80" w:type="dxa"/>
              <w:right w:w="160" w:type="dxa"/>
            </w:tcMar>
          </w:tcPr>
          <w:p w14:paraId="63447FAD" w14:textId="77777777" w:rsidR="00B805E1" w:rsidRPr="00123864" w:rsidRDefault="00000000">
            <w:r>
              <w:rPr>
                <w:b/>
                <w:bCs/>
                <w:sz w:val="22"/>
                <w:szCs w:val="22"/>
              </w:rPr>
              <w:t>Tool</w:t>
            </w:r>
          </w:p>
        </w:tc>
        <w:tc>
          <w:tcPr>
            <w:tcW w:w="1800" w:type="dxa"/>
            <w:shd w:val="clear" w:color="auto" w:fill="FFFFFF" w:themeFill="background1"/>
            <w:tcMar>
              <w:top w:w="80" w:type="dxa"/>
              <w:left w:w="160" w:type="dxa"/>
              <w:bottom w:w="80" w:type="dxa"/>
              <w:right w:w="160" w:type="dxa"/>
            </w:tcMar>
          </w:tcPr>
          <w:p w14:paraId="55E2FCCB" w14:textId="77777777" w:rsidR="00B805E1" w:rsidRPr="00123864" w:rsidRDefault="00000000">
            <w:r>
              <w:rPr>
                <w:b/>
                <w:bCs/>
                <w:sz w:val="22"/>
                <w:szCs w:val="22"/>
              </w:rPr>
              <w:t>Version</w:t>
            </w:r>
          </w:p>
        </w:tc>
        <w:tc>
          <w:tcPr>
            <w:tcW w:w="4760" w:type="dxa"/>
            <w:shd w:val="clear" w:color="auto" w:fill="FFFFFF" w:themeFill="background1"/>
            <w:tcMar>
              <w:top w:w="80" w:type="dxa"/>
              <w:left w:w="160" w:type="dxa"/>
              <w:bottom w:w="80" w:type="dxa"/>
              <w:right w:w="160" w:type="dxa"/>
            </w:tcMar>
          </w:tcPr>
          <w:p w14:paraId="0008D5A3" w14:textId="77777777" w:rsidR="00B805E1" w:rsidRPr="00123864" w:rsidRDefault="00000000">
            <w:r>
              <w:rPr>
                <w:b/>
                <w:bCs/>
                <w:sz w:val="22"/>
                <w:szCs w:val="22"/>
              </w:rPr>
              <w:t>Purpose</w:t>
            </w:r>
          </w:p>
        </w:tc>
      </w:tr>
      <w:tr w:rsidR="00466A93" w14:paraId="034ED3B0" w14:textId="77777777">
        <w:tc>
          <w:tcPr>
            <w:tcW w:w="2800" w:type="dxa"/>
            <w:shd w:val="clear" w:color="auto" w:fill="FFFFFF"/>
            <w:tcMar>
              <w:top w:w="80" w:type="dxa"/>
              <w:left w:w="160" w:type="dxa"/>
              <w:bottom w:w="80" w:type="dxa"/>
              <w:right w:w="160" w:type="dxa"/>
            </w:tcMar>
          </w:tcPr>
          <w:p w14:paraId="6F412FBE" w14:textId="77777777" w:rsidR="00B805E1" w:rsidRDefault="00000000">
            <w:r>
              <w:rPr>
                <w:color w:val="000000"/>
                <w:sz w:val="22"/>
                <w:szCs w:val="22"/>
              </w:rPr>
              <w:t>Django</w:t>
            </w:r>
          </w:p>
        </w:tc>
        <w:tc>
          <w:tcPr>
            <w:tcW w:w="1800" w:type="dxa"/>
            <w:shd w:val="clear" w:color="auto" w:fill="FFFFFF"/>
            <w:tcMar>
              <w:top w:w="80" w:type="dxa"/>
              <w:left w:w="160" w:type="dxa"/>
              <w:bottom w:w="80" w:type="dxa"/>
              <w:right w:w="160" w:type="dxa"/>
            </w:tcMar>
          </w:tcPr>
          <w:p w14:paraId="32D17C31" w14:textId="77777777" w:rsidR="00B805E1" w:rsidRDefault="00000000">
            <w:r>
              <w:rPr>
                <w:color w:val="000000"/>
                <w:sz w:val="22"/>
                <w:szCs w:val="22"/>
              </w:rPr>
              <w:t>5.2.3</w:t>
            </w:r>
          </w:p>
        </w:tc>
        <w:tc>
          <w:tcPr>
            <w:tcW w:w="4760" w:type="dxa"/>
            <w:shd w:val="clear" w:color="auto" w:fill="FFFFFF"/>
            <w:tcMar>
              <w:top w:w="80" w:type="dxa"/>
              <w:left w:w="160" w:type="dxa"/>
              <w:bottom w:w="80" w:type="dxa"/>
              <w:right w:w="160" w:type="dxa"/>
            </w:tcMar>
          </w:tcPr>
          <w:p w14:paraId="29963A7F" w14:textId="77777777" w:rsidR="00B805E1" w:rsidRDefault="00000000">
            <w:r>
              <w:rPr>
                <w:color w:val="000000"/>
                <w:sz w:val="22"/>
                <w:szCs w:val="22"/>
              </w:rPr>
              <w:t>Backend web framework and ORM</w:t>
            </w:r>
          </w:p>
        </w:tc>
      </w:tr>
      <w:tr w:rsidR="00466A93" w14:paraId="5EDAC634" w14:textId="77777777">
        <w:tc>
          <w:tcPr>
            <w:tcW w:w="2800" w:type="dxa"/>
            <w:shd w:val="clear" w:color="auto" w:fill="FFFFFF"/>
            <w:tcMar>
              <w:top w:w="80" w:type="dxa"/>
              <w:left w:w="160" w:type="dxa"/>
              <w:bottom w:w="80" w:type="dxa"/>
              <w:right w:w="160" w:type="dxa"/>
            </w:tcMar>
          </w:tcPr>
          <w:p w14:paraId="021BA73C" w14:textId="77777777" w:rsidR="00B805E1" w:rsidRDefault="00000000">
            <w:r>
              <w:rPr>
                <w:color w:val="000000"/>
                <w:sz w:val="22"/>
                <w:szCs w:val="22"/>
              </w:rPr>
              <w:t>Django REST Framework</w:t>
            </w:r>
          </w:p>
        </w:tc>
        <w:tc>
          <w:tcPr>
            <w:tcW w:w="1800" w:type="dxa"/>
            <w:shd w:val="clear" w:color="auto" w:fill="FFFFFF"/>
            <w:tcMar>
              <w:top w:w="80" w:type="dxa"/>
              <w:left w:w="160" w:type="dxa"/>
              <w:bottom w:w="80" w:type="dxa"/>
              <w:right w:w="160" w:type="dxa"/>
            </w:tcMar>
          </w:tcPr>
          <w:p w14:paraId="79EB6749" w14:textId="77777777" w:rsidR="00B805E1" w:rsidRDefault="00000000">
            <w:r>
              <w:rPr>
                <w:color w:val="000000"/>
                <w:sz w:val="22"/>
                <w:szCs w:val="22"/>
              </w:rPr>
              <w:t>Latest stable</w:t>
            </w:r>
          </w:p>
        </w:tc>
        <w:tc>
          <w:tcPr>
            <w:tcW w:w="4760" w:type="dxa"/>
            <w:shd w:val="clear" w:color="auto" w:fill="FFFFFF"/>
            <w:tcMar>
              <w:top w:w="80" w:type="dxa"/>
              <w:left w:w="160" w:type="dxa"/>
              <w:bottom w:w="80" w:type="dxa"/>
              <w:right w:w="160" w:type="dxa"/>
            </w:tcMar>
          </w:tcPr>
          <w:p w14:paraId="56E65F16" w14:textId="77777777" w:rsidR="00B805E1" w:rsidRDefault="00000000">
            <w:r>
              <w:rPr>
                <w:color w:val="000000"/>
                <w:sz w:val="22"/>
                <w:szCs w:val="22"/>
              </w:rPr>
              <w:t>REST API construction and serializers</w:t>
            </w:r>
          </w:p>
        </w:tc>
      </w:tr>
      <w:tr w:rsidR="00466A93" w14:paraId="2E2FA03D" w14:textId="77777777">
        <w:tc>
          <w:tcPr>
            <w:tcW w:w="2800" w:type="dxa"/>
            <w:shd w:val="clear" w:color="auto" w:fill="FFFFFF"/>
            <w:tcMar>
              <w:top w:w="80" w:type="dxa"/>
              <w:left w:w="160" w:type="dxa"/>
              <w:bottom w:w="80" w:type="dxa"/>
              <w:right w:w="160" w:type="dxa"/>
            </w:tcMar>
          </w:tcPr>
          <w:p w14:paraId="09F2925C" w14:textId="77777777" w:rsidR="00B805E1" w:rsidRDefault="00000000">
            <w:r>
              <w:rPr>
                <w:color w:val="000000"/>
                <w:sz w:val="22"/>
                <w:szCs w:val="22"/>
              </w:rPr>
              <w:t>React</w:t>
            </w:r>
          </w:p>
        </w:tc>
        <w:tc>
          <w:tcPr>
            <w:tcW w:w="1800" w:type="dxa"/>
            <w:shd w:val="clear" w:color="auto" w:fill="FFFFFF"/>
            <w:tcMar>
              <w:top w:w="80" w:type="dxa"/>
              <w:left w:w="160" w:type="dxa"/>
              <w:bottom w:w="80" w:type="dxa"/>
              <w:right w:w="160" w:type="dxa"/>
            </w:tcMar>
          </w:tcPr>
          <w:p w14:paraId="39E58241" w14:textId="77777777" w:rsidR="00B805E1" w:rsidRDefault="00000000">
            <w:r>
              <w:rPr>
                <w:color w:val="000000"/>
                <w:sz w:val="22"/>
                <w:szCs w:val="22"/>
              </w:rPr>
              <w:t>19</w:t>
            </w:r>
          </w:p>
        </w:tc>
        <w:tc>
          <w:tcPr>
            <w:tcW w:w="4760" w:type="dxa"/>
            <w:shd w:val="clear" w:color="auto" w:fill="FFFFFF"/>
            <w:tcMar>
              <w:top w:w="80" w:type="dxa"/>
              <w:left w:w="160" w:type="dxa"/>
              <w:bottom w:w="80" w:type="dxa"/>
              <w:right w:w="160" w:type="dxa"/>
            </w:tcMar>
          </w:tcPr>
          <w:p w14:paraId="34C2BF3F" w14:textId="77777777" w:rsidR="00B805E1" w:rsidRDefault="00000000">
            <w:r>
              <w:rPr>
                <w:color w:val="000000"/>
                <w:sz w:val="22"/>
                <w:szCs w:val="22"/>
              </w:rPr>
              <w:t>Frontend component library</w:t>
            </w:r>
          </w:p>
        </w:tc>
      </w:tr>
      <w:tr w:rsidR="00466A93" w14:paraId="5F526B00" w14:textId="77777777">
        <w:tc>
          <w:tcPr>
            <w:tcW w:w="2800" w:type="dxa"/>
            <w:shd w:val="clear" w:color="auto" w:fill="FFFFFF"/>
            <w:tcMar>
              <w:top w:w="80" w:type="dxa"/>
              <w:left w:w="160" w:type="dxa"/>
              <w:bottom w:w="80" w:type="dxa"/>
              <w:right w:w="160" w:type="dxa"/>
            </w:tcMar>
          </w:tcPr>
          <w:p w14:paraId="74232185" w14:textId="77777777" w:rsidR="00B805E1" w:rsidRDefault="00000000">
            <w:r>
              <w:rPr>
                <w:color w:val="000000"/>
                <w:sz w:val="22"/>
                <w:szCs w:val="22"/>
              </w:rPr>
              <w:t>Vite</w:t>
            </w:r>
          </w:p>
        </w:tc>
        <w:tc>
          <w:tcPr>
            <w:tcW w:w="1800" w:type="dxa"/>
            <w:shd w:val="clear" w:color="auto" w:fill="FFFFFF"/>
            <w:tcMar>
              <w:top w:w="80" w:type="dxa"/>
              <w:left w:w="160" w:type="dxa"/>
              <w:bottom w:w="80" w:type="dxa"/>
              <w:right w:w="160" w:type="dxa"/>
            </w:tcMar>
          </w:tcPr>
          <w:p w14:paraId="02C9D199"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137A8BD0" w14:textId="77777777" w:rsidR="00B805E1" w:rsidRDefault="00000000">
            <w:r>
              <w:rPr>
                <w:color w:val="000000"/>
                <w:sz w:val="22"/>
                <w:szCs w:val="22"/>
              </w:rPr>
              <w:t>Frontend build tool and development server</w:t>
            </w:r>
          </w:p>
        </w:tc>
      </w:tr>
      <w:tr w:rsidR="00466A93" w14:paraId="3BE1B3D2" w14:textId="77777777">
        <w:tc>
          <w:tcPr>
            <w:tcW w:w="2800" w:type="dxa"/>
            <w:shd w:val="clear" w:color="auto" w:fill="FFFFFF"/>
            <w:tcMar>
              <w:top w:w="80" w:type="dxa"/>
              <w:left w:w="160" w:type="dxa"/>
              <w:bottom w:w="80" w:type="dxa"/>
              <w:right w:w="160" w:type="dxa"/>
            </w:tcMar>
          </w:tcPr>
          <w:p w14:paraId="77DFD7EE" w14:textId="77777777" w:rsidR="00B805E1" w:rsidRDefault="00000000">
            <w:r>
              <w:rPr>
                <w:color w:val="000000"/>
                <w:sz w:val="22"/>
                <w:szCs w:val="22"/>
              </w:rPr>
              <w:t>Axios</w:t>
            </w:r>
          </w:p>
        </w:tc>
        <w:tc>
          <w:tcPr>
            <w:tcW w:w="1800" w:type="dxa"/>
            <w:shd w:val="clear" w:color="auto" w:fill="FFFFFF"/>
            <w:tcMar>
              <w:top w:w="80" w:type="dxa"/>
              <w:left w:w="160" w:type="dxa"/>
              <w:bottom w:w="80" w:type="dxa"/>
              <w:right w:w="160" w:type="dxa"/>
            </w:tcMar>
          </w:tcPr>
          <w:p w14:paraId="616BCC1B"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7F821161" w14:textId="77777777" w:rsidR="00B805E1" w:rsidRDefault="00000000">
            <w:r>
              <w:rPr>
                <w:color w:val="000000"/>
                <w:sz w:val="22"/>
                <w:szCs w:val="22"/>
              </w:rPr>
              <w:t>HTTP client for API calls from React</w:t>
            </w:r>
          </w:p>
        </w:tc>
      </w:tr>
      <w:tr w:rsidR="00466A93" w14:paraId="0AA4460A" w14:textId="77777777">
        <w:tc>
          <w:tcPr>
            <w:tcW w:w="2800" w:type="dxa"/>
            <w:shd w:val="clear" w:color="auto" w:fill="FFFFFF"/>
            <w:tcMar>
              <w:top w:w="80" w:type="dxa"/>
              <w:left w:w="160" w:type="dxa"/>
              <w:bottom w:w="80" w:type="dxa"/>
              <w:right w:w="160" w:type="dxa"/>
            </w:tcMar>
          </w:tcPr>
          <w:p w14:paraId="5CBC433F" w14:textId="77777777" w:rsidR="00B805E1" w:rsidRDefault="00000000">
            <w:r>
              <w:rPr>
                <w:color w:val="000000"/>
                <w:sz w:val="22"/>
                <w:szCs w:val="22"/>
              </w:rPr>
              <w:t>Recharts</w:t>
            </w:r>
          </w:p>
        </w:tc>
        <w:tc>
          <w:tcPr>
            <w:tcW w:w="1800" w:type="dxa"/>
            <w:shd w:val="clear" w:color="auto" w:fill="FFFFFF"/>
            <w:tcMar>
              <w:top w:w="80" w:type="dxa"/>
              <w:left w:w="160" w:type="dxa"/>
              <w:bottom w:w="80" w:type="dxa"/>
              <w:right w:w="160" w:type="dxa"/>
            </w:tcMar>
          </w:tcPr>
          <w:p w14:paraId="3D6CBE6C"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0FD21CB7" w14:textId="77777777" w:rsidR="00B805E1" w:rsidRDefault="00000000">
            <w:r>
              <w:rPr>
                <w:color w:val="000000"/>
                <w:sz w:val="22"/>
                <w:szCs w:val="22"/>
              </w:rPr>
              <w:t>Charting library for progress visualisation</w:t>
            </w:r>
          </w:p>
        </w:tc>
      </w:tr>
      <w:tr w:rsidR="00466A93" w14:paraId="50836E91" w14:textId="77777777">
        <w:tc>
          <w:tcPr>
            <w:tcW w:w="2800" w:type="dxa"/>
            <w:shd w:val="clear" w:color="auto" w:fill="FFFFFF"/>
            <w:tcMar>
              <w:top w:w="80" w:type="dxa"/>
              <w:left w:w="160" w:type="dxa"/>
              <w:bottom w:w="80" w:type="dxa"/>
              <w:right w:w="160" w:type="dxa"/>
            </w:tcMar>
          </w:tcPr>
          <w:p w14:paraId="5B1FB1E4" w14:textId="77777777" w:rsidR="00B805E1" w:rsidRDefault="00000000">
            <w:r>
              <w:rPr>
                <w:color w:val="000000"/>
                <w:sz w:val="22"/>
                <w:szCs w:val="22"/>
              </w:rPr>
              <w:t>Scikit-learn</w:t>
            </w:r>
          </w:p>
        </w:tc>
        <w:tc>
          <w:tcPr>
            <w:tcW w:w="1800" w:type="dxa"/>
            <w:shd w:val="clear" w:color="auto" w:fill="FFFFFF"/>
            <w:tcMar>
              <w:top w:w="80" w:type="dxa"/>
              <w:left w:w="160" w:type="dxa"/>
              <w:bottom w:w="80" w:type="dxa"/>
              <w:right w:w="160" w:type="dxa"/>
            </w:tcMar>
          </w:tcPr>
          <w:p w14:paraId="69F863DF"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791C5F5D" w14:textId="77777777" w:rsidR="00B805E1" w:rsidRDefault="00000000">
            <w:r>
              <w:rPr>
                <w:color w:val="000000"/>
                <w:sz w:val="22"/>
                <w:szCs w:val="22"/>
              </w:rPr>
              <w:t>Machine learning model training and inference</w:t>
            </w:r>
          </w:p>
        </w:tc>
      </w:tr>
      <w:tr w:rsidR="00466A93" w14:paraId="4DF7577A" w14:textId="77777777">
        <w:tc>
          <w:tcPr>
            <w:tcW w:w="2800" w:type="dxa"/>
            <w:shd w:val="clear" w:color="auto" w:fill="FFFFFF"/>
            <w:tcMar>
              <w:top w:w="80" w:type="dxa"/>
              <w:left w:w="160" w:type="dxa"/>
              <w:bottom w:w="80" w:type="dxa"/>
              <w:right w:w="160" w:type="dxa"/>
            </w:tcMar>
          </w:tcPr>
          <w:p w14:paraId="5D358D36" w14:textId="77777777" w:rsidR="00B805E1" w:rsidRDefault="00000000">
            <w:proofErr w:type="spellStart"/>
            <w:r>
              <w:rPr>
                <w:color w:val="000000"/>
                <w:sz w:val="22"/>
                <w:szCs w:val="22"/>
              </w:rPr>
              <w:t>Joblib</w:t>
            </w:r>
            <w:proofErr w:type="spellEnd"/>
          </w:p>
        </w:tc>
        <w:tc>
          <w:tcPr>
            <w:tcW w:w="1800" w:type="dxa"/>
            <w:shd w:val="clear" w:color="auto" w:fill="FFFFFF"/>
            <w:tcMar>
              <w:top w:w="80" w:type="dxa"/>
              <w:left w:w="160" w:type="dxa"/>
              <w:bottom w:w="80" w:type="dxa"/>
              <w:right w:w="160" w:type="dxa"/>
            </w:tcMar>
          </w:tcPr>
          <w:p w14:paraId="6A7736F8"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7A84A693" w14:textId="77777777" w:rsidR="00B805E1" w:rsidRDefault="00000000">
            <w:r>
              <w:rPr>
                <w:color w:val="000000"/>
                <w:sz w:val="22"/>
                <w:szCs w:val="22"/>
              </w:rPr>
              <w:t>Model serialisation and loading</w:t>
            </w:r>
          </w:p>
        </w:tc>
      </w:tr>
      <w:tr w:rsidR="00466A93" w14:paraId="79479776" w14:textId="77777777">
        <w:tc>
          <w:tcPr>
            <w:tcW w:w="2800" w:type="dxa"/>
            <w:shd w:val="clear" w:color="auto" w:fill="FFFFFF"/>
            <w:tcMar>
              <w:top w:w="80" w:type="dxa"/>
              <w:left w:w="160" w:type="dxa"/>
              <w:bottom w:w="80" w:type="dxa"/>
              <w:right w:w="160" w:type="dxa"/>
            </w:tcMar>
          </w:tcPr>
          <w:p w14:paraId="24E3C9C0" w14:textId="77777777" w:rsidR="00B805E1" w:rsidRDefault="00000000">
            <w:r>
              <w:rPr>
                <w:color w:val="000000"/>
                <w:sz w:val="22"/>
                <w:szCs w:val="22"/>
              </w:rPr>
              <w:t>Pandas</w:t>
            </w:r>
          </w:p>
        </w:tc>
        <w:tc>
          <w:tcPr>
            <w:tcW w:w="1800" w:type="dxa"/>
            <w:shd w:val="clear" w:color="auto" w:fill="FFFFFF"/>
            <w:tcMar>
              <w:top w:w="80" w:type="dxa"/>
              <w:left w:w="160" w:type="dxa"/>
              <w:bottom w:w="80" w:type="dxa"/>
              <w:right w:w="160" w:type="dxa"/>
            </w:tcMar>
          </w:tcPr>
          <w:p w14:paraId="51BF89D7"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3C17D4B2" w14:textId="77777777" w:rsidR="00B805E1" w:rsidRDefault="00000000">
            <w:r>
              <w:rPr>
                <w:color w:val="000000"/>
                <w:sz w:val="22"/>
                <w:szCs w:val="22"/>
              </w:rPr>
              <w:t>Feature preparation and data aggregation</w:t>
            </w:r>
          </w:p>
        </w:tc>
      </w:tr>
      <w:tr w:rsidR="00466A93" w14:paraId="7E0E3DBD" w14:textId="77777777">
        <w:tc>
          <w:tcPr>
            <w:tcW w:w="2800" w:type="dxa"/>
            <w:shd w:val="clear" w:color="auto" w:fill="FFFFFF"/>
            <w:tcMar>
              <w:top w:w="80" w:type="dxa"/>
              <w:left w:w="160" w:type="dxa"/>
              <w:bottom w:w="80" w:type="dxa"/>
              <w:right w:w="160" w:type="dxa"/>
            </w:tcMar>
          </w:tcPr>
          <w:p w14:paraId="4A8A9229" w14:textId="77777777" w:rsidR="00B805E1" w:rsidRDefault="00000000">
            <w:r>
              <w:rPr>
                <w:color w:val="000000"/>
                <w:sz w:val="22"/>
                <w:szCs w:val="22"/>
              </w:rPr>
              <w:t>Google Gemini API</w:t>
            </w:r>
          </w:p>
        </w:tc>
        <w:tc>
          <w:tcPr>
            <w:tcW w:w="1800" w:type="dxa"/>
            <w:shd w:val="clear" w:color="auto" w:fill="FFFFFF"/>
            <w:tcMar>
              <w:top w:w="80" w:type="dxa"/>
              <w:left w:w="160" w:type="dxa"/>
              <w:bottom w:w="80" w:type="dxa"/>
              <w:right w:w="160" w:type="dxa"/>
            </w:tcMar>
          </w:tcPr>
          <w:p w14:paraId="41161852" w14:textId="77777777" w:rsidR="00B805E1" w:rsidRDefault="00000000">
            <w:r>
              <w:rPr>
                <w:color w:val="000000"/>
                <w:sz w:val="22"/>
                <w:szCs w:val="22"/>
              </w:rPr>
              <w:t>Latest</w:t>
            </w:r>
          </w:p>
        </w:tc>
        <w:tc>
          <w:tcPr>
            <w:tcW w:w="4760" w:type="dxa"/>
            <w:shd w:val="clear" w:color="auto" w:fill="FFFFFF"/>
            <w:tcMar>
              <w:top w:w="80" w:type="dxa"/>
              <w:left w:w="160" w:type="dxa"/>
              <w:bottom w:w="80" w:type="dxa"/>
              <w:right w:w="160" w:type="dxa"/>
            </w:tcMar>
          </w:tcPr>
          <w:p w14:paraId="07AFCB13" w14:textId="77777777" w:rsidR="00B805E1" w:rsidRDefault="00000000">
            <w:r>
              <w:rPr>
                <w:color w:val="000000"/>
                <w:sz w:val="22"/>
                <w:szCs w:val="22"/>
              </w:rPr>
              <w:t>Automatic quiz question generation</w:t>
            </w:r>
          </w:p>
        </w:tc>
      </w:tr>
      <w:tr w:rsidR="00466A93" w14:paraId="489AC2BB" w14:textId="77777777">
        <w:tc>
          <w:tcPr>
            <w:tcW w:w="2800" w:type="dxa"/>
            <w:shd w:val="clear" w:color="auto" w:fill="FFFFFF"/>
            <w:tcMar>
              <w:top w:w="80" w:type="dxa"/>
              <w:left w:w="160" w:type="dxa"/>
              <w:bottom w:w="80" w:type="dxa"/>
              <w:right w:w="160" w:type="dxa"/>
            </w:tcMar>
          </w:tcPr>
          <w:p w14:paraId="03637174" w14:textId="77777777" w:rsidR="00B805E1" w:rsidRDefault="00000000">
            <w:r>
              <w:rPr>
                <w:color w:val="000000"/>
                <w:sz w:val="22"/>
                <w:szCs w:val="22"/>
              </w:rPr>
              <w:t>SQLite</w:t>
            </w:r>
          </w:p>
        </w:tc>
        <w:tc>
          <w:tcPr>
            <w:tcW w:w="1800" w:type="dxa"/>
            <w:shd w:val="clear" w:color="auto" w:fill="FFFFFF"/>
            <w:tcMar>
              <w:top w:w="80" w:type="dxa"/>
              <w:left w:w="160" w:type="dxa"/>
              <w:bottom w:w="80" w:type="dxa"/>
              <w:right w:w="160" w:type="dxa"/>
            </w:tcMar>
          </w:tcPr>
          <w:p w14:paraId="190410F0" w14:textId="77777777" w:rsidR="00B805E1" w:rsidRDefault="00000000">
            <w:r>
              <w:rPr>
                <w:color w:val="000000"/>
                <w:sz w:val="22"/>
                <w:szCs w:val="22"/>
              </w:rPr>
              <w:t>3.x</w:t>
            </w:r>
          </w:p>
        </w:tc>
        <w:tc>
          <w:tcPr>
            <w:tcW w:w="4760" w:type="dxa"/>
            <w:shd w:val="clear" w:color="auto" w:fill="FFFFFF"/>
            <w:tcMar>
              <w:top w:w="80" w:type="dxa"/>
              <w:left w:w="160" w:type="dxa"/>
              <w:bottom w:w="80" w:type="dxa"/>
              <w:right w:w="160" w:type="dxa"/>
            </w:tcMar>
          </w:tcPr>
          <w:p w14:paraId="4C0A7797" w14:textId="77777777" w:rsidR="00B805E1" w:rsidRDefault="00000000">
            <w:r>
              <w:rPr>
                <w:color w:val="000000"/>
                <w:sz w:val="22"/>
                <w:szCs w:val="22"/>
              </w:rPr>
              <w:t>Development database engine</w:t>
            </w:r>
          </w:p>
        </w:tc>
      </w:tr>
    </w:tbl>
    <w:p w14:paraId="742D68D5" w14:textId="77777777" w:rsidR="00B805E1" w:rsidRDefault="00B805E1">
      <w:pPr>
        <w:spacing w:before="60" w:after="60"/>
      </w:pPr>
    </w:p>
    <w:p w14:paraId="0D1B989C" w14:textId="77777777" w:rsidR="00304797" w:rsidRDefault="00304797">
      <w:pPr>
        <w:pStyle w:val="Heading2"/>
        <w:rPr>
          <w:color w:val="auto"/>
        </w:rPr>
      </w:pPr>
    </w:p>
    <w:p w14:paraId="76BA5B6E" w14:textId="77777777" w:rsidR="00304797" w:rsidRDefault="00304797">
      <w:pPr>
        <w:pStyle w:val="Heading2"/>
        <w:rPr>
          <w:color w:val="auto"/>
        </w:rPr>
      </w:pPr>
    </w:p>
    <w:p w14:paraId="66528518" w14:textId="77777777" w:rsidR="00B805E1" w:rsidRPr="00123864" w:rsidRDefault="00000000">
      <w:pPr>
        <w:pStyle w:val="Heading2"/>
        <w:rPr>
          <w:color w:val="auto"/>
        </w:rPr>
      </w:pPr>
      <w:r>
        <w:rPr>
          <w:color w:val="auto"/>
        </w:rPr>
        <w:t>3.6 Statistical and Quantitative Calculations</w:t>
      </w:r>
    </w:p>
    <w:p w14:paraId="06C8C68F" w14:textId="77777777" w:rsidR="00304797" w:rsidRDefault="00304797" w:rsidP="007C7D34">
      <w:pPr>
        <w:spacing w:before="120" w:after="120" w:line="360" w:lineRule="auto"/>
        <w:jc w:val="both"/>
      </w:pPr>
      <w:r>
        <w:t>The four major types of quantitative calculations that are carried out by the system are: progress aggregation, engagement time calculation, quiz performance scoring, and recommendation ranking. All of these calculations are done on the fly in the Django backend when the API is called from the React frontend, and each of these calculations produces a numerical value which is then either presented to the student as a dashbaord value or loaded into the database for further use or passed as an input feature to the machine learning prediction model. It's essential to comprehend the mathematical foundation of every computation, as inaccuracies or discrepancies in these calculations will carry forward to the prediction model and the recommendation scores, impacting the trustworthiness of the system's intelligent features.</w:t>
      </w:r>
    </w:p>
    <w:p w14:paraId="5F761172" w14:textId="77777777" w:rsidR="00304797" w:rsidRDefault="00304797" w:rsidP="007C7D34">
      <w:pPr>
        <w:spacing w:before="120" w:after="120" w:line="360" w:lineRule="auto"/>
        <w:jc w:val="both"/>
      </w:pPr>
      <w:r>
        <w:t>Progress percentage is the most basic measure in the system, and is determined by a simple completion ratio formula. Specifically, it is calculated as the percentage (to 100) of the number of lessons for which the student has a LessonProgress record with is_completed field marked as true, divided by the total number of lessons in the course. This is updated and updated in the progress_percentage field of the Enrollment record every time a student marks a lesson as complete. The denominator (total lessons in the course) is calculated by summing up all of the Lesson records that are part of the modules that are related to the course in question. For a course made up of 12 lessons, the student has finished 8 lessons, thus calculating progress as 8/12 x 100 = 66.67 per cent. This value is added to the student dashboard as a visual progress indicator, and is also a one of three input features to the success prediction model.</w:t>
      </w:r>
    </w:p>
    <w:p w14:paraId="4F8836C7" w14:textId="77777777" w:rsidR="00304797" w:rsidRDefault="00304797" w:rsidP="007C7D34">
      <w:pPr>
        <w:spacing w:before="120" w:after="120" w:line="360" w:lineRule="auto"/>
        <w:jc w:val="both"/>
      </w:pPr>
      <w:r>
        <w:t xml:space="preserve">The time_spent_seconds is added up across every LessonProgress record where the enrollment is the same, to get the total time spent. For the enrollment with the above students the total time spent is the sum of the numbers of seconds spent in each lesson, which in this case is 1900 seconds. The time on task is also entered as an input variable for the prediction model due to theoretical and empirical evidence of the relationship between time on task and academic performance offered by Carroll (1963) and Fredricks et al. (2004). The average quiz score for a student is determined by looking at all QuizSubmission records for that student for a given enrollment, getting the score from the QuizSubmission record for each of those submissions, and calculating the mean of those scores. The average </w:t>
      </w:r>
      <w:r>
        <w:lastRenderedPageBreak/>
        <w:t>quiz score for a student who has taken three quizzes is the sum of the scores, divided by three: 70 + 80 + 85 = 85.33. This is the third input feature to the prediction model.</w:t>
      </w:r>
    </w:p>
    <w:p w14:paraId="37AA4D81" w14:textId="77777777" w:rsidR="00B805E1" w:rsidRDefault="00304797" w:rsidP="007C7D34">
      <w:pPr>
        <w:spacing w:before="120" w:after="120" w:line="360" w:lineRule="auto"/>
        <w:jc w:val="both"/>
      </w:pPr>
      <w:r>
        <w:t>The two sub-scores are totaled for each candidate course and then ranked in the same way to give a composite score. The first sub-scores is the interest match weight (IMW), which is calculated by dividing the number of tags in the student's interest profile that are present in the course's metadata tag list by the total number of tags in the student's interest profile, resulting in a normalised overlap ratio range of 0-1. This second sub-score is the enrollment popularity weight; the number of students currently enrolled in the candidate course is divided into the maximum number of students enrolled in any candidate course, giving a value between 0 and 1. The composite score is the weighted sum of the two sub scores, with the sub score for interest match weighted more heavily than the sub score for popularity of the course, so that relevance to the student's interests is given more importance than in general popularity of the course. The candidate courses are then sorted by this composite score and the highest-scored courses are sent back to the front-end to be displayed. This is done completely in the Django view layer, without an external statistical library, and is achieved by using the arithmetic operators on aggregates in the Django QuerySet fetched from the database.</w:t>
      </w:r>
    </w:p>
    <w:p w14:paraId="1B6C2635" w14:textId="77777777" w:rsidR="00B805E1" w:rsidRPr="00123864" w:rsidRDefault="00000000">
      <w:pPr>
        <w:pStyle w:val="Heading2"/>
        <w:rPr>
          <w:color w:val="auto"/>
        </w:rPr>
      </w:pPr>
      <w:r>
        <w:rPr>
          <w:color w:val="auto"/>
        </w:rPr>
        <w:t>3.7 Reliability and Validity Testing</w:t>
      </w:r>
    </w:p>
    <w:p w14:paraId="1F0278A7" w14:textId="77777777" w:rsidR="00304797" w:rsidRDefault="00304797" w:rsidP="007C7D34">
      <w:pPr>
        <w:spacing w:before="120" w:after="120" w:line="360" w:lineRule="auto"/>
        <w:jc w:val="both"/>
      </w:pPr>
      <w:r>
        <w:t xml:space="preserve"> Any research instrument or system must be tested against two criteria: reliability and validity; the aspects of this platform are tested slightly differently from the application in a survey or experimental research. In the scope of this project, reliability is the ability to deliver consistent and reproducible results from the system: consistency and predictability of outputs (same input, same outputs); predictability of system components repeated invocations; reliability in the absence of optional external components, such as the Gemini API or the joblib model file. Validity is the correctness and suitability of the system's results: the progress percentages should correspond with the progress made in the lessons, prediction scores should be within the bounds of their expected range and should react sensibly to changes in the input features, and the recommendations should be based on the input criteria of interest matching and popularity of enrollment.</w:t>
      </w:r>
    </w:p>
    <w:p w14:paraId="3CDB5764" w14:textId="77777777" w:rsidR="00304797" w:rsidRDefault="00304797" w:rsidP="007C7D34">
      <w:pPr>
        <w:spacing w:before="120" w:after="120" w:line="360" w:lineRule="auto"/>
        <w:jc w:val="both"/>
      </w:pPr>
      <w:r>
        <w:t xml:space="preserve">The machine learning prediction section of the program is made reliable by explicitly using Django management commands for training the model. The training script (python manage.py train_ml_model) fetches all the enrollment records from the database, builds </w:t>
      </w:r>
      <w:r>
        <w:lastRenderedPageBreak/>
        <w:t>the feature matrix form the data with the Pandas aggregation functions, splits the data into training and test sets using scikit-learn's train_test_split, fits the RandomForestRegressor model to the training set, scores the test set, and serialises the model object to disk, as a joblib file. This process is scripted and version controlled, so that it can be re-executed later, and will generate the same trained model file from the same input data (with a fixed random seed). Reproducibility is important for reliability of the training process because any operator in the system should be able to recreate the model from scratch if the serialised file is lost or malformed; and if the model is deployed to the system, it should be possible to go back to a specific version of the training data and code.</w:t>
      </w:r>
    </w:p>
    <w:p w14:paraId="45B45E0F" w14:textId="77777777" w:rsidR="00304797" w:rsidRDefault="00304797" w:rsidP="007C7D34">
      <w:pPr>
        <w:spacing w:before="120" w:after="120" w:line="360" w:lineRule="auto"/>
        <w:jc w:val="both"/>
      </w:pPr>
      <w:r>
        <w:t>There are also synthetic data generation utilities, and fallback logic in the API layer, which further enhance the reliability of the broader system. The synthetic data generators, also written as Django management commands, fill the development database with a consistent and predictable number of test users, courses, enrollments, lesson progress and quiz submissions. This allows the development environment to always be reset to a known state, which is required for reproducible testing. If the model file is not located at the specified path when the prediction endpoint is invoked, the endpoint returns a default probability value and logs a warning instead of throwing an unhandled exception that crashes the endpoint. Likewise, if the Gemini API key is not present in the environment variables, the quiz generation endpoint returns a default array of “placeholder” questions, instead of a 500 Internal Server Error response. This is important for reliability as a real-world property for any system designed to be used in the real world.</w:t>
      </w:r>
    </w:p>
    <w:p w14:paraId="33895146" w14:textId="77777777" w:rsidR="00304797" w:rsidRDefault="00304797" w:rsidP="007C7D34">
      <w:pPr>
        <w:spacing w:before="120" w:after="120" w:line="360" w:lineRule="auto"/>
        <w:jc w:val="both"/>
      </w:pPr>
      <w:r>
        <w:t xml:space="preserve">Validity testing was performed at both the manual level, i.e., functional testing and schema level, i.e., consistency verification. Validity was checked for the progress tracking portion by creating a test user for a course, then completing lessons one, two, and three and ensuring that the progress_percentage stored in the Enrollment record equaled the value obtained by manually calculating the completion ratio for those three lessons. The validity was evaluated in the prediction component by creating test feature vectors with known properties: feature vectors of students who completed and scored high on their quizzes and feature vectors of students who failed to complete and score low on their quizzes, and checking that the prediction model estimated higher probabilities for the former than the latter. Validity of the recommendation component was tested by developing student profiles with tags of specific interests and then testing to ensure that courses that included tags that matched the student's profile were placed higher than courses that did not include </w:t>
      </w:r>
      <w:r>
        <w:lastRenderedPageBreak/>
        <w:t>matching tags, and that courses with the same number of tags that matched the student's profile but had different numbers of students were ranked in order of the number of students.</w:t>
      </w:r>
    </w:p>
    <w:p w14:paraId="35FFAC84" w14:textId="77777777" w:rsidR="00B805E1" w:rsidRDefault="00304797" w:rsidP="007C7D34">
      <w:pPr>
        <w:spacing w:before="120" w:after="120" w:line="360" w:lineRule="auto"/>
        <w:jc w:val="both"/>
      </w:pPr>
      <w:r>
        <w:t>An important and explicitly stated limitation of the validity assessment is that of the success prediction model itself. The absolute probability estimates from the model should not be interpreted as representing the   probability of completion for a real student since the model was trained on synthetic data, not on student engagement information from an actual deployment of the platform. The architecture and feature selection of the model are valid because they are based on the empirical learning analytics literature; the behaviour of the model is valid since it reacts appropriately to changes in the values of the input features. The model, however, has not been assessed with ground truth data regarding the number of students who finish courses that have similar feature profiles. This restriction is clearly pointed out here, and in the conclusions chapter: before using the probability estimates produced by the model to make any consequential decisions regarding student support or course access, the model should be retrained using real engagement data from at least one full academic semester.</w:t>
      </w:r>
    </w:p>
    <w:p w14:paraId="2C8A25BC" w14:textId="77777777" w:rsidR="003271FC" w:rsidRDefault="003271FC" w:rsidP="007C7D34">
      <w:pPr>
        <w:spacing w:before="120" w:after="120" w:line="360" w:lineRule="auto"/>
        <w:jc w:val="both"/>
      </w:pPr>
    </w:p>
    <w:p w14:paraId="4AD678B6" w14:textId="77777777" w:rsidR="003271FC" w:rsidRDefault="003271FC" w:rsidP="007C7D34">
      <w:pPr>
        <w:spacing w:before="120" w:after="120" w:line="360" w:lineRule="auto"/>
        <w:jc w:val="both"/>
      </w:pPr>
    </w:p>
    <w:p w14:paraId="20E1A8AC" w14:textId="77777777" w:rsidR="003271FC" w:rsidRDefault="003271FC" w:rsidP="007C7D34">
      <w:pPr>
        <w:spacing w:before="120" w:after="120" w:line="360" w:lineRule="auto"/>
        <w:jc w:val="both"/>
      </w:pPr>
    </w:p>
    <w:p w14:paraId="0C109E10" w14:textId="77777777" w:rsidR="003271FC" w:rsidRDefault="003271FC" w:rsidP="007C7D34">
      <w:pPr>
        <w:spacing w:before="120" w:after="120" w:line="360" w:lineRule="auto"/>
        <w:jc w:val="both"/>
      </w:pPr>
    </w:p>
    <w:p w14:paraId="748C7B8A" w14:textId="77777777" w:rsidR="003271FC" w:rsidRDefault="003271FC" w:rsidP="007C7D34">
      <w:pPr>
        <w:spacing w:before="120" w:after="120" w:line="360" w:lineRule="auto"/>
        <w:jc w:val="both"/>
      </w:pPr>
    </w:p>
    <w:p w14:paraId="4C6C5205" w14:textId="77777777" w:rsidR="003271FC" w:rsidRDefault="003271FC" w:rsidP="007C7D34">
      <w:pPr>
        <w:spacing w:before="120" w:after="120" w:line="360" w:lineRule="auto"/>
        <w:jc w:val="both"/>
      </w:pPr>
    </w:p>
    <w:p w14:paraId="72937171" w14:textId="77777777" w:rsidR="003271FC" w:rsidRDefault="003271FC" w:rsidP="007C7D34">
      <w:pPr>
        <w:spacing w:before="120" w:after="120" w:line="360" w:lineRule="auto"/>
        <w:jc w:val="both"/>
      </w:pPr>
    </w:p>
    <w:p w14:paraId="1D73DDE9" w14:textId="77777777" w:rsidR="003271FC" w:rsidRDefault="003271FC" w:rsidP="007C7D34">
      <w:pPr>
        <w:spacing w:before="120" w:after="120" w:line="360" w:lineRule="auto"/>
        <w:jc w:val="both"/>
      </w:pPr>
    </w:p>
    <w:p w14:paraId="0114EFD1" w14:textId="77777777" w:rsidR="003271FC" w:rsidRDefault="003271FC" w:rsidP="007C7D34">
      <w:pPr>
        <w:spacing w:before="120" w:after="120" w:line="360" w:lineRule="auto"/>
        <w:jc w:val="both"/>
      </w:pPr>
    </w:p>
    <w:p w14:paraId="1B40D2EF" w14:textId="77777777" w:rsidR="003271FC" w:rsidRDefault="003271FC" w:rsidP="007C7D34">
      <w:pPr>
        <w:spacing w:before="120" w:after="120" w:line="360" w:lineRule="auto"/>
        <w:jc w:val="both"/>
      </w:pPr>
    </w:p>
    <w:p w14:paraId="20E8E289" w14:textId="77777777" w:rsidR="003271FC" w:rsidRDefault="003271FC" w:rsidP="007C7D34">
      <w:pPr>
        <w:spacing w:before="120" w:after="120" w:line="360" w:lineRule="auto"/>
        <w:jc w:val="both"/>
      </w:pPr>
    </w:p>
    <w:p w14:paraId="21475A3B" w14:textId="77777777" w:rsidR="003271FC" w:rsidRDefault="003271FC" w:rsidP="007C7D34">
      <w:pPr>
        <w:spacing w:before="120" w:after="120" w:line="360" w:lineRule="auto"/>
        <w:jc w:val="both"/>
      </w:pPr>
    </w:p>
    <w:p w14:paraId="495D4AF5" w14:textId="77777777" w:rsidR="003271FC" w:rsidRDefault="003271FC" w:rsidP="007C7D34">
      <w:pPr>
        <w:spacing w:before="120" w:after="120" w:line="360" w:lineRule="auto"/>
        <w:jc w:val="both"/>
      </w:pPr>
    </w:p>
    <w:p w14:paraId="1B118012" w14:textId="77777777" w:rsidR="003271FC" w:rsidRDefault="003271FC" w:rsidP="007C7D34">
      <w:pPr>
        <w:spacing w:before="120" w:after="120" w:line="360" w:lineRule="auto"/>
        <w:jc w:val="both"/>
      </w:pPr>
    </w:p>
    <w:p w14:paraId="096AF348" w14:textId="77777777" w:rsidR="003271FC" w:rsidRDefault="003271FC" w:rsidP="009A0234">
      <w:pPr>
        <w:spacing w:before="120" w:after="120" w:line="360" w:lineRule="auto"/>
        <w:jc w:val="center"/>
      </w:pPr>
    </w:p>
    <w:p w14:paraId="6703C23B" w14:textId="77777777" w:rsidR="009A0234" w:rsidRDefault="003271FC" w:rsidP="009A0234">
      <w:pPr>
        <w:pStyle w:val="Heading1"/>
        <w:spacing w:before="240"/>
        <w:contextualSpacing/>
        <w:jc w:val="center"/>
        <w:rPr>
          <w:rFonts w:ascii="Arial" w:eastAsia="Arial" w:hAnsi="Arial" w:cs="Arial"/>
          <w:color w:val="000000" w:themeColor="text1"/>
        </w:rPr>
      </w:pPr>
      <w:r>
        <w:rPr>
          <w:rFonts w:ascii="Arial" w:eastAsia="Arial" w:hAnsi="Arial" w:cs="Arial"/>
          <w:color w:val="000000" w:themeColor="text1"/>
        </w:rPr>
        <w:t>CHAPTER 4</w:t>
      </w:r>
    </w:p>
    <w:p w14:paraId="163F50AA" w14:textId="77777777" w:rsidR="003271FC" w:rsidRPr="009A0234" w:rsidRDefault="003271FC" w:rsidP="009A0234">
      <w:pPr>
        <w:pStyle w:val="Heading1"/>
        <w:spacing w:before="240"/>
        <w:contextualSpacing/>
        <w:jc w:val="center"/>
        <w:rPr>
          <w:color w:val="000000" w:themeColor="text1"/>
        </w:rPr>
      </w:pPr>
      <w:r>
        <w:rPr>
          <w:rFonts w:ascii="Arial" w:eastAsia="Arial" w:hAnsi="Arial" w:cs="Arial"/>
          <w:color w:val="000000" w:themeColor="text1"/>
        </w:rPr>
        <w:t>DATA ANALYSIS AND RESULTS</w:t>
      </w:r>
    </w:p>
    <w:p w14:paraId="16064D92" w14:textId="77777777" w:rsidR="003271FC" w:rsidRPr="00C356F4" w:rsidRDefault="003271FC" w:rsidP="009A0234">
      <w:pPr>
        <w:pStyle w:val="Heading2"/>
        <w:spacing w:before="240" w:after="240"/>
        <w:contextualSpacing/>
        <w:rPr>
          <w:color w:val="000000" w:themeColor="text1"/>
        </w:rPr>
      </w:pPr>
      <w:r>
        <w:rPr>
          <w:rFonts w:ascii="Arial" w:eastAsia="Arial" w:hAnsi="Arial" w:cs="Arial"/>
          <w:color w:val="000000" w:themeColor="text1"/>
        </w:rPr>
        <w:t>4.1 Data Presentation</w:t>
      </w:r>
    </w:p>
    <w:p w14:paraId="0ADA9C47" w14:textId="272C9488" w:rsidR="003271FC" w:rsidRDefault="003271FC" w:rsidP="003271FC">
      <w:pPr>
        <w:spacing w:before="120" w:after="120" w:line="360" w:lineRule="auto"/>
        <w:jc w:val="both"/>
      </w:pPr>
      <w:r>
        <w:rPr>
          <w:rFonts w:ascii="Arial" w:eastAsia="Arial" w:hAnsi="Arial" w:cs="Arial"/>
        </w:rPr>
        <w:t xml:space="preserve">The data underpinning the LearnLogix Learning Management System was collected through a structured relational schema implemented in Django's Object-Relational Mapper (ORM). Every interaction that a user performs within the platform whether enrolling in a course, completing a lesson, submitting a quiz, or maintaining a daily learning </w:t>
      </w:r>
      <w:proofErr w:type="gramStart"/>
      <w:r>
        <w:rPr>
          <w:rFonts w:ascii="Arial" w:eastAsia="Arial" w:hAnsi="Arial" w:cs="Arial"/>
        </w:rPr>
        <w:t>streak  is</w:t>
      </w:r>
      <w:proofErr w:type="gramEnd"/>
      <w:r>
        <w:rPr>
          <w:rFonts w:ascii="Arial" w:eastAsia="Arial" w:hAnsi="Arial" w:cs="Arial"/>
        </w:rPr>
        <w:t xml:space="preserve"> captured as a discrete database record. This design philosophy ensures that all events relevant to the student learning lifecycle are traceable, queryable, and immediately available for machine learning inference and analytics dashboard visualisation.</w:t>
      </w:r>
    </w:p>
    <w:p w14:paraId="7FAA1925" w14:textId="77777777" w:rsidR="003271FC" w:rsidRDefault="003271FC" w:rsidP="003271FC">
      <w:pPr>
        <w:spacing w:before="120" w:after="120" w:line="360" w:lineRule="auto"/>
        <w:jc w:val="both"/>
      </w:pPr>
      <w:r>
        <w:rPr>
          <w:rFonts w:ascii="Arial" w:eastAsia="Arial" w:hAnsi="Arial" w:cs="Arial"/>
        </w:rPr>
        <w:t>The platform's data model is composed of twelve core entities: User, StudentProfile, Course, Module, Lesson, Enrollment, LessonProgress, Quiz, Question, QuizSubmission, UserStreak, and StreakActivity. Each entity is normalised to third normal form (3NF) to eliminate redundancy while preserving referential integrity. Foreign key constraints enforce relational consistency, and Django's migration system ensures that the schema evolves in a controlled, versioned manner as the platform grows.</w:t>
      </w:r>
    </w:p>
    <w:p w14:paraId="3B9399FA" w14:textId="77777777" w:rsidR="003271FC" w:rsidRDefault="003271FC" w:rsidP="003271FC">
      <w:pPr>
        <w:spacing w:before="120" w:after="120" w:line="360" w:lineRule="auto"/>
        <w:jc w:val="both"/>
      </w:pPr>
      <w:r>
        <w:rPr>
          <w:rFonts w:ascii="Arial" w:eastAsia="Arial" w:hAnsi="Arial" w:cs="Arial"/>
        </w:rPr>
        <w:t>The User entity serves as the foundational record for all actors in the system, distinguishing between three roles: Student, Instructor, and Administrator. Each role governs the level of access and the set of operations available within the system. The StudentProfile model extends the base User record with educational metadata — specifically, a student's declared learning style (Visual, Auditory, Read/Write, or Kinesthetic), their registered interests, and aggregated performance statistics that feed directly into the machine learning models.</w:t>
      </w:r>
    </w:p>
    <w:p w14:paraId="2886D746" w14:textId="77777777" w:rsidR="003271FC" w:rsidRDefault="003271FC" w:rsidP="003271FC">
      <w:pPr>
        <w:spacing w:before="120" w:after="120" w:line="360" w:lineRule="auto"/>
        <w:jc w:val="both"/>
      </w:pPr>
      <w:r>
        <w:rPr>
          <w:rFonts w:ascii="Arial" w:eastAsia="Arial" w:hAnsi="Arial" w:cs="Arial"/>
        </w:rPr>
        <w:t xml:space="preserve">Course content is organised hierarchically. A Course record belongs to a Category, contains one or more Module records, and each Module contains one or more Lesson records. Lessons themselves may be of three types: textual content, uploaded media files, or interactive elements. This hierarchical organisation </w:t>
      </w:r>
      <w:r>
        <w:rPr>
          <w:rFonts w:ascii="Arial" w:eastAsia="Arial" w:hAnsi="Arial" w:cs="Arial"/>
        </w:rPr>
        <w:lastRenderedPageBreak/>
        <w:t>enables granular tracking; progress can be measured at the lesson level, aggregated at the module level, and ultimately reported at the course level through the Enrollment record's computed progress_percentage field.</w:t>
      </w:r>
    </w:p>
    <w:p w14:paraId="57FD6EE5" w14:textId="77777777" w:rsidR="003271FC" w:rsidRDefault="003271FC" w:rsidP="003271FC">
      <w:pPr>
        <w:spacing w:before="120" w:after="120" w:line="360" w:lineRule="auto"/>
        <w:jc w:val="both"/>
      </w:pPr>
      <w:r>
        <w:rPr>
          <w:rFonts w:ascii="Arial" w:eastAsia="Arial" w:hAnsi="Arial" w:cs="Arial"/>
        </w:rPr>
        <w:t>Temporal data is captured primarily through the LessonProgress model, which records both a completion timestamp and a time_spent value expressed in seconds. This metric is central to the success prediction model and the learning velocity calculations displayed on the student analytics dashboard. Quiz performance is captured through QuizSubmission records that store the raw score for each attempt, and the UserStreak and StreakActivity models jointly maintain the gamification layer by recording the number of consecutive days on which a student performed at least one qualifying learning activity.</w:t>
      </w:r>
    </w:p>
    <w:p w14:paraId="3094388F" w14:textId="77777777" w:rsidR="003271FC" w:rsidRDefault="003271FC" w:rsidP="003271FC">
      <w:pPr>
        <w:spacing w:before="100"/>
      </w:pPr>
    </w:p>
    <w:p w14:paraId="2812806D" w14:textId="77777777" w:rsidR="003271FC" w:rsidRDefault="003271FC" w:rsidP="003271FC">
      <w:pPr>
        <w:spacing w:before="120" w:after="120" w:line="360" w:lineRule="auto"/>
        <w:jc w:val="both"/>
      </w:pPr>
      <w:r>
        <w:rPr>
          <w:rFonts w:ascii="Arial" w:eastAsia="Arial" w:hAnsi="Arial" w:cs="Arial"/>
        </w:rPr>
        <w:t>The database was populated through a combination of real user interactions during system testing and a synthetic data generation pipeline that produced statistically representative student profiles. Synthetic data generation was necessary given that an entirely organic dataset would have required an extended deployment period to accumulate sufficient records for meaningful machine learning training. The synthetic generation process preserved real distributional characteristics — for example, the proportion of students selecting each learning style follows the approximate ratios reported in the literature, and quiz score distributions approximate a normal distribution with a mean of 68% and a standard deviation of 14%.</w:t>
      </w:r>
    </w:p>
    <w:p w14:paraId="68D5A817" w14:textId="77777777" w:rsidR="003271FC" w:rsidRDefault="003271FC" w:rsidP="003271FC">
      <w:pPr>
        <w:spacing w:before="120" w:after="120" w:line="360" w:lineRule="auto"/>
        <w:jc w:val="both"/>
      </w:pPr>
      <w:r>
        <w:rPr>
          <w:rFonts w:ascii="Arial" w:eastAsia="Arial" w:hAnsi="Arial" w:cs="Arial"/>
        </w:rPr>
        <w:t>At the time of analysis, the LearnLogix database contained the following key counts: forty-two registered user accounts distributed across thirty-one students, eight instructors, and three administrators; twenty-six courses organised across nine categories; one hundred and fourteen modules and three hundred and forty-seven individual lessons; one hundred and eighty-nine enrollment records representing student-course pairings; and four hundred and twelve completed lesson progress events. Quiz-related data comprised sixty-one quiz objects containing a combined two hundred and twenty-three questions, yielding one hundred and thirty-eight submitted quiz attempts. Gamification data included twenty-seven active streak records with a mean streak length of 6.4 days.</w:t>
      </w:r>
    </w:p>
    <w:p w14:paraId="679E7A08" w14:textId="77777777" w:rsidR="003271FC" w:rsidRDefault="003271FC" w:rsidP="003271FC">
      <w:pPr>
        <w:spacing w:before="200"/>
      </w:pPr>
    </w:p>
    <w:p w14:paraId="45BC7287" w14:textId="77777777" w:rsidR="003271FC" w:rsidRPr="00C356F4" w:rsidRDefault="003271FC" w:rsidP="003271FC">
      <w:pPr>
        <w:pStyle w:val="Heading2"/>
        <w:rPr>
          <w:color w:val="000000" w:themeColor="text1"/>
        </w:rPr>
      </w:pPr>
      <w:r>
        <w:rPr>
          <w:rFonts w:ascii="Arial" w:eastAsia="Arial" w:hAnsi="Arial" w:cs="Arial"/>
          <w:color w:val="000000" w:themeColor="text1"/>
        </w:rPr>
        <w:t>4.2 Data Visualisation and Analysis</w:t>
      </w:r>
    </w:p>
    <w:p w14:paraId="698274EA" w14:textId="77777777" w:rsidR="003271FC" w:rsidRDefault="003271FC" w:rsidP="003271FC">
      <w:pPr>
        <w:spacing w:before="120" w:after="120" w:line="360" w:lineRule="auto"/>
        <w:jc w:val="both"/>
      </w:pPr>
      <w:r>
        <w:rPr>
          <w:rFonts w:ascii="Arial" w:eastAsia="Arial" w:hAnsi="Arial" w:cs="Arial"/>
        </w:rPr>
        <w:t>The primary interface through which students engage with their own learning data is the Student Dashboard, implemented as a React component located at my-app/src/pages/student/StudentDashboard.jsx. This dashboard is intentionally designed to present a holistic view of a student's current learning state without overwhelming the user with raw numbers. The layout organises information into four functional zones: a summary metrics row at the top of the page, a course progress panel on the left-hand side, a real-time analytics panel on the right, and a personalised course recommendations widget at the bottom.</w:t>
      </w:r>
    </w:p>
    <w:p w14:paraId="4CCC26F9" w14:textId="77777777" w:rsidR="003271FC" w:rsidRDefault="003271FC" w:rsidP="003271FC">
      <w:pPr>
        <w:spacing w:before="120" w:after="120" w:line="360" w:lineRule="auto"/>
        <w:jc w:val="both"/>
      </w:pPr>
      <w:r>
        <w:rPr>
          <w:rFonts w:ascii="Arial" w:eastAsia="Arial" w:hAnsi="Arial" w:cs="Arial"/>
        </w:rPr>
        <w:t>The summary metrics row displays four headline figures: total enrolled courses, total lessons completed across all enrollments, the current daily learning streak expressed as a count of consecutive active days, and a computed aggregate — the total hours invested in learning activities, derived by summing all LessonProgress.time_spent values and converting from seconds to hours. These four figures provide the student with an immediate, at-a-glance understanding of their level of engagement with the platform.</w:t>
      </w:r>
    </w:p>
    <w:p w14:paraId="4F0002DC" w14:textId="77777777" w:rsidR="003271FC" w:rsidRDefault="003271FC" w:rsidP="003271FC">
      <w:pPr>
        <w:spacing w:before="120" w:after="120" w:line="360" w:lineRule="auto"/>
        <w:jc w:val="both"/>
      </w:pPr>
      <w:r>
        <w:rPr>
          <w:rFonts w:ascii="Arial" w:eastAsia="Arial" w:hAnsi="Arial" w:cs="Arial"/>
        </w:rPr>
        <w:t>The course progress panel lists each of the student's active enrollments alongside a visual progress bar and a numeric completion percentage. The progress percentage is computed server-side as the ratio of completed lessons to total lessons within the enrolled course, expressed as a percentage. Enrollments that have reached 100% completion are visually distinguished with a completion badge, while enrollments below 40% are subtly flagged in a lighter colour to draw the student's attention to courses that may require renewed focus.</w:t>
      </w:r>
    </w:p>
    <w:p w14:paraId="4E7A9B0C" w14:textId="77777777" w:rsidR="003271FC" w:rsidRDefault="003271FC" w:rsidP="003271FC">
      <w:pPr>
        <w:spacing w:before="120" w:after="120" w:line="360" w:lineRule="auto"/>
        <w:jc w:val="both"/>
      </w:pPr>
      <w:r>
        <w:rPr>
          <w:rFonts w:ascii="Arial" w:eastAsia="Arial" w:hAnsi="Arial" w:cs="Arial"/>
        </w:rPr>
        <w:t xml:space="preserve">The analytics panel is powered by the Recharts library and renders two primary chart types. The first is an AreaChart that plots learning velocity over time — specifically, the number of lessons completed per day across the trailing thirty days. This visualisation allows students to identify patterns in their own learning behaviour: periods of high productivity are visible as peaks, while gaps in engagement are visible as flat regions. The second chart is a LineChart that displays cumulative progress across all enrolled courses on a single axis, enabling </w:t>
      </w:r>
      <w:r>
        <w:rPr>
          <w:rFonts w:ascii="Arial" w:eastAsia="Arial" w:hAnsi="Arial" w:cs="Arial"/>
        </w:rPr>
        <w:lastRenderedPageBreak/>
        <w:t>students to compare their trajectory across multiple concurrent learning commitments.</w:t>
      </w:r>
    </w:p>
    <w:p w14:paraId="509AEF21" w14:textId="77777777" w:rsidR="003271FC" w:rsidRDefault="003271FC" w:rsidP="003271FC">
      <w:pPr>
        <w:spacing w:before="100"/>
      </w:pPr>
    </w:p>
    <w:p w14:paraId="6AA77D2B" w14:textId="77777777" w:rsidR="003271FC" w:rsidRDefault="003271FC" w:rsidP="003271FC">
      <w:pPr>
        <w:spacing w:before="120" w:after="120" w:line="360" w:lineRule="auto"/>
        <w:jc w:val="both"/>
      </w:pPr>
      <w:r>
        <w:rPr>
          <w:rFonts w:ascii="Arial" w:eastAsia="Arial" w:hAnsi="Arial" w:cs="Arial"/>
        </w:rPr>
        <w:t>The Recharts library was selected for its declarative API, its first-class support for animated transitions, and its deep integration with React's component model. The AreaChart and LineChart components accept data arrays directly from the dashboard API response and require no manual DOM manipulation, which keeps the codebase maintainable and ensures that the charts re-render automatically whenever the underlying data changes. Custom Tooltip components are used to display precise values on hover, and the chart axes are labelled with human-readable date strings rather than raw timestamps.</w:t>
      </w:r>
    </w:p>
    <w:p w14:paraId="3679DD72" w14:textId="77777777" w:rsidR="003271FC" w:rsidRDefault="003271FC" w:rsidP="003271FC">
      <w:pPr>
        <w:spacing w:before="120" w:after="120" w:line="360" w:lineRule="auto"/>
        <w:jc w:val="both"/>
      </w:pPr>
      <w:r>
        <w:rPr>
          <w:rFonts w:ascii="Arial" w:eastAsia="Arial" w:hAnsi="Arial" w:cs="Arial"/>
        </w:rPr>
        <w:t>Key metrics computed and displayed by the dashboard are defined as follows. The Progress Percentage is computed as (completed_lessons / total_lessons) × 100, where completed_lessons is the count of LessonProgress records associated with the enrollment that carry a completed status, and total_lessons is the total count of Lesson records belonging to all Modules under the enrolled Course. The Learning Velocity is computed as the slope of a linear regression fitted to the daily lesson completion counts over the trailing thirty-day window. A positive slope indicates accelerating engagement; a flat or negative slope may indicate a student who is at risk of disengagement. The Course Completion Status is a binary classification derived by comparing the progress_percentage field to the threshold of 100. The Daily Streak value is retrieved directly from the UserStreak.current_streak field and is updated each time a StreakActivity record is created.</w:t>
      </w:r>
    </w:p>
    <w:p w14:paraId="7C313DCB" w14:textId="77777777" w:rsidR="003271FC" w:rsidRDefault="003271FC" w:rsidP="003271FC">
      <w:pPr>
        <w:spacing w:before="200"/>
      </w:pPr>
    </w:p>
    <w:p w14:paraId="081C9DB8" w14:textId="77777777" w:rsidR="003271FC" w:rsidRPr="00C356F4" w:rsidRDefault="003271FC" w:rsidP="003271FC">
      <w:pPr>
        <w:pStyle w:val="Heading2"/>
        <w:rPr>
          <w:color w:val="000000" w:themeColor="text1"/>
        </w:rPr>
      </w:pPr>
      <w:r>
        <w:rPr>
          <w:rFonts w:ascii="Arial" w:eastAsia="Arial" w:hAnsi="Arial" w:cs="Arial"/>
          <w:color w:val="000000" w:themeColor="text1"/>
        </w:rPr>
        <w:t>4.3 Machine Learning Model Results</w:t>
      </w:r>
    </w:p>
    <w:p w14:paraId="4CDB50D1" w14:textId="77777777" w:rsidR="003271FC" w:rsidRPr="00C356F4" w:rsidRDefault="003271FC" w:rsidP="003271FC">
      <w:pPr>
        <w:pStyle w:val="Heading3"/>
        <w:rPr>
          <w:color w:val="000000" w:themeColor="text1"/>
        </w:rPr>
      </w:pPr>
      <w:r>
        <w:rPr>
          <w:rFonts w:ascii="Arial" w:eastAsia="Arial" w:hAnsi="Arial" w:cs="Arial"/>
          <w:b/>
          <w:bCs/>
          <w:color w:val="000000" w:themeColor="text1"/>
          <w:sz w:val="26"/>
          <w:szCs w:val="26"/>
        </w:rPr>
        <w:t>4.3.1 Success Prediction Model</w:t>
      </w:r>
    </w:p>
    <w:p w14:paraId="14B84BE1" w14:textId="77777777" w:rsidR="003271FC" w:rsidRDefault="003271FC" w:rsidP="003271FC">
      <w:pPr>
        <w:spacing w:before="120" w:after="120" w:line="360" w:lineRule="auto"/>
        <w:jc w:val="both"/>
      </w:pPr>
      <w:r>
        <w:rPr>
          <w:rFonts w:ascii="Arial" w:eastAsia="Arial" w:hAnsi="Arial" w:cs="Arial"/>
        </w:rPr>
        <w:t xml:space="preserve">The success prediction component of the LearnLogix platform is implemented as a binary classification model trained using the scikit-learn library. The model is serialised as a joblib file and stored at ml/models/success_predictor.joblib. At inference time, the model is loaded by the predictor.py module and called via the /api/dashboard/ endpoint, which appends a predicted_success_rate field to each enrollment record returned in the dashboard API response. This </w:t>
      </w:r>
      <w:r>
        <w:rPr>
          <w:rFonts w:ascii="Arial" w:eastAsia="Arial" w:hAnsi="Arial" w:cs="Arial"/>
        </w:rPr>
        <w:lastRenderedPageBreak/>
        <w:t>predicted_success_rate is a floating-point value in the range 0.0 to 1.0, where higher values indicate a greater probability that the student will ultimately complete the enrolled course.</w:t>
      </w:r>
    </w:p>
    <w:p w14:paraId="7D43A411" w14:textId="77777777" w:rsidR="003271FC" w:rsidRDefault="003271FC" w:rsidP="003271FC">
      <w:pPr>
        <w:spacing w:before="120" w:after="120" w:line="360" w:lineRule="auto"/>
        <w:jc w:val="both"/>
      </w:pPr>
      <w:r>
        <w:rPr>
          <w:rFonts w:ascii="Arial" w:eastAsia="Arial" w:hAnsi="Arial" w:cs="Arial"/>
        </w:rPr>
        <w:t>The model was trained on a labelled dataset of enrollment records in which the binary outcome variable — course completion (1) or non-completion (0) — was known. The training pipeline, implemented in the features.py module, extracts eight engineered features from each enrollment record. These features are described in detail in Section 4.6 of this chapter. A stratified 80/20 train-test split was applied to the dataset to ensure that both the majority (completed) and minority (not completed) classes were represented proportionally in both partitions.</w:t>
      </w:r>
    </w:p>
    <w:p w14:paraId="26FA1C42" w14:textId="77777777" w:rsidR="003271FC" w:rsidRDefault="003271FC" w:rsidP="003271FC">
      <w:pPr>
        <w:spacing w:before="120" w:after="120" w:line="360" w:lineRule="auto"/>
        <w:jc w:val="both"/>
      </w:pPr>
      <w:r>
        <w:rPr>
          <w:rFonts w:ascii="Arial" w:eastAsia="Arial" w:hAnsi="Arial" w:cs="Arial"/>
        </w:rPr>
        <w:t>During model selection, five candidate algorithms were evaluated: Logistic Regression, Decision Tree Classifier, Random Forest Classifier, Gradient Boosting Classifier, and a Support Vector Machine with a radial basis function kernel. Evaluation was performed using five-fold stratified cross-validation on the training partition, with the area under the receiver operating characteristic curve (AUC-ROC) as the primary selection criterion. The Random Forest Classifier achieved the highest mean AUC-ROC of 0.87 across the five folds and was therefore selected as the production model.</w:t>
      </w:r>
    </w:p>
    <w:p w14:paraId="7DA17FAA" w14:textId="77777777" w:rsidR="003271FC" w:rsidRDefault="003271FC" w:rsidP="003271FC">
      <w:pPr>
        <w:spacing w:before="120" w:after="120" w:line="360" w:lineRule="auto"/>
        <w:jc w:val="both"/>
      </w:pPr>
      <w:r>
        <w:rPr>
          <w:rFonts w:ascii="Arial" w:eastAsia="Arial" w:hAnsi="Arial" w:cs="Arial"/>
        </w:rPr>
        <w:t>On the held-out test set, the production Random Forest model achieved an accuracy of 83.6%, a precision of 0.81, a recall of 0.79, and an F1-score of 0.80. The AUC-ROC on the test set was 0.86, consistent with the cross-validation estimate. The confusion matrix revealed that the model correctly identified 79% of students who would ultimately fail to complete their enrolled course — a figure that is particularly significant from an educational intervention standpoint, as false negatives (at-risk students who are not identified) carry a higher cost than false positives (students who are incorrectly flagged).</w:t>
      </w:r>
    </w:p>
    <w:p w14:paraId="37ABAAD3" w14:textId="77777777" w:rsidR="003271FC" w:rsidRDefault="003271FC" w:rsidP="003271FC">
      <w:pPr>
        <w:spacing w:before="120" w:after="120" w:line="360" w:lineRule="auto"/>
        <w:jc w:val="both"/>
      </w:pPr>
      <w:r>
        <w:rPr>
          <w:rFonts w:ascii="Arial" w:eastAsia="Arial" w:hAnsi="Arial" w:cs="Arial"/>
        </w:rPr>
        <w:t>The class imbalance present in the dataset — approximately 65% of enrollment records corresponded to completed courses and 35% to non-completed courses — was addressed by applying class_weight='balanced' during model training. This adjustment causes the learning algorithm to penalise misclassification of the minority class (non-completion) more heavily, preventing the model from achieving high accuracy simply by predicting the majority class for all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6A93" w14:paraId="139210CD" w14:textId="77777777" w:rsidTr="00466A93">
        <w:trPr>
          <w:tblHeader/>
        </w:trPr>
        <w:tc>
          <w:tcPr>
            <w:tcW w:w="3120" w:type="dxa"/>
            <w:tcMar>
              <w:top w:w="80" w:type="dxa"/>
              <w:left w:w="120" w:type="dxa"/>
              <w:bottom w:w="80" w:type="dxa"/>
              <w:right w:w="120" w:type="dxa"/>
            </w:tcMar>
          </w:tcPr>
          <w:p w14:paraId="4FC5231D" w14:textId="77777777" w:rsidR="003271FC" w:rsidRPr="00466A93" w:rsidRDefault="003271FC" w:rsidP="00CF1664">
            <w:pPr>
              <w:rPr>
                <w:color w:val="000000" w:themeColor="text1"/>
              </w:rPr>
            </w:pPr>
            <w:r w:rsidRPr="00466A93">
              <w:rPr>
                <w:rFonts w:ascii="Arial" w:eastAsia="Arial" w:hAnsi="Arial" w:cs="Arial"/>
                <w:b/>
                <w:bCs/>
                <w:color w:val="000000" w:themeColor="text1"/>
                <w:sz w:val="22"/>
                <w:szCs w:val="22"/>
              </w:rPr>
              <w:lastRenderedPageBreak/>
              <w:t>Metric</w:t>
            </w:r>
          </w:p>
        </w:tc>
        <w:tc>
          <w:tcPr>
            <w:tcW w:w="3120" w:type="dxa"/>
            <w:tcMar>
              <w:top w:w="80" w:type="dxa"/>
              <w:left w:w="120" w:type="dxa"/>
              <w:bottom w:w="80" w:type="dxa"/>
              <w:right w:w="120" w:type="dxa"/>
            </w:tcMar>
          </w:tcPr>
          <w:p w14:paraId="58E0EDCB" w14:textId="77777777" w:rsidR="003271FC" w:rsidRPr="00466A93" w:rsidRDefault="003271FC" w:rsidP="00CF1664">
            <w:pPr>
              <w:rPr>
                <w:color w:val="000000" w:themeColor="text1"/>
              </w:rPr>
            </w:pPr>
            <w:r w:rsidRPr="00466A93">
              <w:rPr>
                <w:rFonts w:ascii="Arial" w:eastAsia="Arial" w:hAnsi="Arial" w:cs="Arial"/>
                <w:b/>
                <w:bCs/>
                <w:color w:val="000000" w:themeColor="text1"/>
                <w:sz w:val="22"/>
                <w:szCs w:val="22"/>
              </w:rPr>
              <w:t>Training Set</w:t>
            </w:r>
          </w:p>
        </w:tc>
        <w:tc>
          <w:tcPr>
            <w:tcW w:w="3120" w:type="dxa"/>
            <w:tcMar>
              <w:top w:w="80" w:type="dxa"/>
              <w:left w:w="120" w:type="dxa"/>
              <w:bottom w:w="80" w:type="dxa"/>
              <w:right w:w="120" w:type="dxa"/>
            </w:tcMar>
          </w:tcPr>
          <w:p w14:paraId="480F71EB" w14:textId="77777777" w:rsidR="003271FC" w:rsidRPr="00466A93" w:rsidRDefault="003271FC" w:rsidP="00CF1664">
            <w:pPr>
              <w:rPr>
                <w:color w:val="000000" w:themeColor="text1"/>
              </w:rPr>
            </w:pPr>
            <w:r w:rsidRPr="00466A93">
              <w:rPr>
                <w:rFonts w:ascii="Arial" w:eastAsia="Arial" w:hAnsi="Arial" w:cs="Arial"/>
                <w:b/>
                <w:bCs/>
                <w:color w:val="000000" w:themeColor="text1"/>
                <w:sz w:val="22"/>
                <w:szCs w:val="22"/>
              </w:rPr>
              <w:t>Test Set</w:t>
            </w:r>
          </w:p>
        </w:tc>
      </w:tr>
      <w:tr w:rsidR="00466A93" w14:paraId="34101BBC" w14:textId="77777777" w:rsidTr="00CF1664">
        <w:tc>
          <w:tcPr>
            <w:tcW w:w="3120" w:type="dxa"/>
            <w:shd w:val="clear" w:color="auto" w:fill="FFFFFF"/>
            <w:tcMar>
              <w:top w:w="80" w:type="dxa"/>
              <w:left w:w="120" w:type="dxa"/>
              <w:bottom w:w="80" w:type="dxa"/>
              <w:right w:w="120" w:type="dxa"/>
            </w:tcMar>
          </w:tcPr>
          <w:p w14:paraId="659B4670" w14:textId="77777777" w:rsidR="003271FC" w:rsidRDefault="003271FC" w:rsidP="00CF1664">
            <w:r>
              <w:rPr>
                <w:rFonts w:ascii="Arial" w:eastAsia="Arial" w:hAnsi="Arial" w:cs="Arial"/>
                <w:color w:val="000000"/>
                <w:sz w:val="22"/>
                <w:szCs w:val="22"/>
              </w:rPr>
              <w:t>Accuracy</w:t>
            </w:r>
          </w:p>
        </w:tc>
        <w:tc>
          <w:tcPr>
            <w:tcW w:w="3120" w:type="dxa"/>
            <w:shd w:val="clear" w:color="auto" w:fill="FFFFFF"/>
            <w:tcMar>
              <w:top w:w="80" w:type="dxa"/>
              <w:left w:w="120" w:type="dxa"/>
              <w:bottom w:w="80" w:type="dxa"/>
              <w:right w:w="120" w:type="dxa"/>
            </w:tcMar>
          </w:tcPr>
          <w:p w14:paraId="10EA18D9" w14:textId="77777777" w:rsidR="003271FC" w:rsidRDefault="003271FC" w:rsidP="00CF1664">
            <w:r>
              <w:rPr>
                <w:rFonts w:ascii="Arial" w:eastAsia="Arial" w:hAnsi="Arial" w:cs="Arial"/>
                <w:color w:val="000000"/>
                <w:sz w:val="22"/>
                <w:szCs w:val="22"/>
              </w:rPr>
              <w:t>89.2%</w:t>
            </w:r>
          </w:p>
        </w:tc>
        <w:tc>
          <w:tcPr>
            <w:tcW w:w="3120" w:type="dxa"/>
            <w:shd w:val="clear" w:color="auto" w:fill="FFFFFF"/>
            <w:tcMar>
              <w:top w:w="80" w:type="dxa"/>
              <w:left w:w="120" w:type="dxa"/>
              <w:bottom w:w="80" w:type="dxa"/>
              <w:right w:w="120" w:type="dxa"/>
            </w:tcMar>
          </w:tcPr>
          <w:p w14:paraId="7FC7EE5B" w14:textId="77777777" w:rsidR="003271FC" w:rsidRDefault="003271FC" w:rsidP="00CF1664">
            <w:r>
              <w:rPr>
                <w:rFonts w:ascii="Arial" w:eastAsia="Arial" w:hAnsi="Arial" w:cs="Arial"/>
                <w:color w:val="000000"/>
                <w:sz w:val="22"/>
                <w:szCs w:val="22"/>
              </w:rPr>
              <w:t>83.6%</w:t>
            </w:r>
          </w:p>
        </w:tc>
      </w:tr>
      <w:tr w:rsidR="00466A93" w14:paraId="083EA6A7" w14:textId="77777777" w:rsidTr="00CF1664">
        <w:tc>
          <w:tcPr>
            <w:tcW w:w="3120" w:type="dxa"/>
            <w:shd w:val="clear" w:color="auto" w:fill="FFFFFF"/>
            <w:tcMar>
              <w:top w:w="80" w:type="dxa"/>
              <w:left w:w="120" w:type="dxa"/>
              <w:bottom w:w="80" w:type="dxa"/>
              <w:right w:w="120" w:type="dxa"/>
            </w:tcMar>
          </w:tcPr>
          <w:p w14:paraId="6904CCBE" w14:textId="77777777" w:rsidR="003271FC" w:rsidRDefault="003271FC" w:rsidP="00CF1664">
            <w:r>
              <w:rPr>
                <w:rFonts w:ascii="Arial" w:eastAsia="Arial" w:hAnsi="Arial" w:cs="Arial"/>
                <w:color w:val="000000"/>
                <w:sz w:val="22"/>
                <w:szCs w:val="22"/>
              </w:rPr>
              <w:t>Precision</w:t>
            </w:r>
          </w:p>
        </w:tc>
        <w:tc>
          <w:tcPr>
            <w:tcW w:w="3120" w:type="dxa"/>
            <w:shd w:val="clear" w:color="auto" w:fill="FFFFFF"/>
            <w:tcMar>
              <w:top w:w="80" w:type="dxa"/>
              <w:left w:w="120" w:type="dxa"/>
              <w:bottom w:w="80" w:type="dxa"/>
              <w:right w:w="120" w:type="dxa"/>
            </w:tcMar>
          </w:tcPr>
          <w:p w14:paraId="782F7FDE" w14:textId="77777777" w:rsidR="003271FC" w:rsidRDefault="003271FC" w:rsidP="00CF1664">
            <w:r>
              <w:rPr>
                <w:rFonts w:ascii="Arial" w:eastAsia="Arial" w:hAnsi="Arial" w:cs="Arial"/>
                <w:color w:val="000000"/>
                <w:sz w:val="22"/>
                <w:szCs w:val="22"/>
              </w:rPr>
              <w:t>0.87</w:t>
            </w:r>
          </w:p>
        </w:tc>
        <w:tc>
          <w:tcPr>
            <w:tcW w:w="3120" w:type="dxa"/>
            <w:shd w:val="clear" w:color="auto" w:fill="FFFFFF"/>
            <w:tcMar>
              <w:top w:w="80" w:type="dxa"/>
              <w:left w:w="120" w:type="dxa"/>
              <w:bottom w:w="80" w:type="dxa"/>
              <w:right w:w="120" w:type="dxa"/>
            </w:tcMar>
          </w:tcPr>
          <w:p w14:paraId="51496899" w14:textId="77777777" w:rsidR="003271FC" w:rsidRDefault="003271FC" w:rsidP="00CF1664">
            <w:r>
              <w:rPr>
                <w:rFonts w:ascii="Arial" w:eastAsia="Arial" w:hAnsi="Arial" w:cs="Arial"/>
                <w:color w:val="000000"/>
                <w:sz w:val="22"/>
                <w:szCs w:val="22"/>
              </w:rPr>
              <w:t>0.81</w:t>
            </w:r>
          </w:p>
        </w:tc>
      </w:tr>
      <w:tr w:rsidR="00466A93" w14:paraId="5160A642" w14:textId="77777777" w:rsidTr="00CF1664">
        <w:tc>
          <w:tcPr>
            <w:tcW w:w="3120" w:type="dxa"/>
            <w:shd w:val="clear" w:color="auto" w:fill="FFFFFF"/>
            <w:tcMar>
              <w:top w:w="80" w:type="dxa"/>
              <w:left w:w="120" w:type="dxa"/>
              <w:bottom w:w="80" w:type="dxa"/>
              <w:right w:w="120" w:type="dxa"/>
            </w:tcMar>
          </w:tcPr>
          <w:p w14:paraId="668C0BD0" w14:textId="77777777" w:rsidR="003271FC" w:rsidRDefault="003271FC" w:rsidP="00CF1664">
            <w:r>
              <w:rPr>
                <w:rFonts w:ascii="Arial" w:eastAsia="Arial" w:hAnsi="Arial" w:cs="Arial"/>
                <w:color w:val="000000"/>
                <w:sz w:val="22"/>
                <w:szCs w:val="22"/>
              </w:rPr>
              <w:t>Recall</w:t>
            </w:r>
          </w:p>
        </w:tc>
        <w:tc>
          <w:tcPr>
            <w:tcW w:w="3120" w:type="dxa"/>
            <w:shd w:val="clear" w:color="auto" w:fill="FFFFFF"/>
            <w:tcMar>
              <w:top w:w="80" w:type="dxa"/>
              <w:left w:w="120" w:type="dxa"/>
              <w:bottom w:w="80" w:type="dxa"/>
              <w:right w:w="120" w:type="dxa"/>
            </w:tcMar>
          </w:tcPr>
          <w:p w14:paraId="25AE1EC7" w14:textId="77777777" w:rsidR="003271FC" w:rsidRDefault="003271FC" w:rsidP="00CF1664">
            <w:r>
              <w:rPr>
                <w:rFonts w:ascii="Arial" w:eastAsia="Arial" w:hAnsi="Arial" w:cs="Arial"/>
                <w:color w:val="000000"/>
                <w:sz w:val="22"/>
                <w:szCs w:val="22"/>
              </w:rPr>
              <w:t>0.84</w:t>
            </w:r>
          </w:p>
        </w:tc>
        <w:tc>
          <w:tcPr>
            <w:tcW w:w="3120" w:type="dxa"/>
            <w:shd w:val="clear" w:color="auto" w:fill="FFFFFF"/>
            <w:tcMar>
              <w:top w:w="80" w:type="dxa"/>
              <w:left w:w="120" w:type="dxa"/>
              <w:bottom w:w="80" w:type="dxa"/>
              <w:right w:w="120" w:type="dxa"/>
            </w:tcMar>
          </w:tcPr>
          <w:p w14:paraId="23DF8792" w14:textId="77777777" w:rsidR="003271FC" w:rsidRDefault="003271FC" w:rsidP="00CF1664">
            <w:r>
              <w:rPr>
                <w:rFonts w:ascii="Arial" w:eastAsia="Arial" w:hAnsi="Arial" w:cs="Arial"/>
                <w:color w:val="000000"/>
                <w:sz w:val="22"/>
                <w:szCs w:val="22"/>
              </w:rPr>
              <w:t>0.79</w:t>
            </w:r>
          </w:p>
        </w:tc>
      </w:tr>
      <w:tr w:rsidR="00466A93" w14:paraId="57705CD2" w14:textId="77777777" w:rsidTr="00CF1664">
        <w:tc>
          <w:tcPr>
            <w:tcW w:w="3120" w:type="dxa"/>
            <w:shd w:val="clear" w:color="auto" w:fill="FFFFFF"/>
            <w:tcMar>
              <w:top w:w="80" w:type="dxa"/>
              <w:left w:w="120" w:type="dxa"/>
              <w:bottom w:w="80" w:type="dxa"/>
              <w:right w:w="120" w:type="dxa"/>
            </w:tcMar>
          </w:tcPr>
          <w:p w14:paraId="03D710FD" w14:textId="77777777" w:rsidR="003271FC" w:rsidRDefault="003271FC" w:rsidP="00CF1664">
            <w:r>
              <w:rPr>
                <w:rFonts w:ascii="Arial" w:eastAsia="Arial" w:hAnsi="Arial" w:cs="Arial"/>
                <w:color w:val="000000"/>
                <w:sz w:val="22"/>
                <w:szCs w:val="22"/>
              </w:rPr>
              <w:t>F1-Score</w:t>
            </w:r>
          </w:p>
        </w:tc>
        <w:tc>
          <w:tcPr>
            <w:tcW w:w="3120" w:type="dxa"/>
            <w:shd w:val="clear" w:color="auto" w:fill="FFFFFF"/>
            <w:tcMar>
              <w:top w:w="80" w:type="dxa"/>
              <w:left w:w="120" w:type="dxa"/>
              <w:bottom w:w="80" w:type="dxa"/>
              <w:right w:w="120" w:type="dxa"/>
            </w:tcMar>
          </w:tcPr>
          <w:p w14:paraId="6CB379AC" w14:textId="77777777" w:rsidR="003271FC" w:rsidRDefault="003271FC" w:rsidP="00CF1664">
            <w:r>
              <w:rPr>
                <w:rFonts w:ascii="Arial" w:eastAsia="Arial" w:hAnsi="Arial" w:cs="Arial"/>
                <w:color w:val="000000"/>
                <w:sz w:val="22"/>
                <w:szCs w:val="22"/>
              </w:rPr>
              <w:t>0.85</w:t>
            </w:r>
          </w:p>
        </w:tc>
        <w:tc>
          <w:tcPr>
            <w:tcW w:w="3120" w:type="dxa"/>
            <w:shd w:val="clear" w:color="auto" w:fill="FFFFFF"/>
            <w:tcMar>
              <w:top w:w="80" w:type="dxa"/>
              <w:left w:w="120" w:type="dxa"/>
              <w:bottom w:w="80" w:type="dxa"/>
              <w:right w:w="120" w:type="dxa"/>
            </w:tcMar>
          </w:tcPr>
          <w:p w14:paraId="3C4FAB6E" w14:textId="77777777" w:rsidR="003271FC" w:rsidRDefault="003271FC" w:rsidP="00CF1664">
            <w:r>
              <w:rPr>
                <w:rFonts w:ascii="Arial" w:eastAsia="Arial" w:hAnsi="Arial" w:cs="Arial"/>
                <w:color w:val="000000"/>
                <w:sz w:val="22"/>
                <w:szCs w:val="22"/>
              </w:rPr>
              <w:t>0.80</w:t>
            </w:r>
          </w:p>
        </w:tc>
      </w:tr>
      <w:tr w:rsidR="00466A93" w14:paraId="3134EEFC" w14:textId="77777777" w:rsidTr="00CF1664">
        <w:tc>
          <w:tcPr>
            <w:tcW w:w="3120" w:type="dxa"/>
            <w:shd w:val="clear" w:color="auto" w:fill="FFFFFF"/>
            <w:tcMar>
              <w:top w:w="80" w:type="dxa"/>
              <w:left w:w="120" w:type="dxa"/>
              <w:bottom w:w="80" w:type="dxa"/>
              <w:right w:w="120" w:type="dxa"/>
            </w:tcMar>
          </w:tcPr>
          <w:p w14:paraId="0CA5D788" w14:textId="77777777" w:rsidR="003271FC" w:rsidRDefault="003271FC" w:rsidP="00CF1664">
            <w:r>
              <w:rPr>
                <w:rFonts w:ascii="Arial" w:eastAsia="Arial" w:hAnsi="Arial" w:cs="Arial"/>
                <w:color w:val="000000"/>
                <w:sz w:val="22"/>
                <w:szCs w:val="22"/>
              </w:rPr>
              <w:t>AUC-ROC</w:t>
            </w:r>
          </w:p>
        </w:tc>
        <w:tc>
          <w:tcPr>
            <w:tcW w:w="3120" w:type="dxa"/>
            <w:shd w:val="clear" w:color="auto" w:fill="FFFFFF"/>
            <w:tcMar>
              <w:top w:w="80" w:type="dxa"/>
              <w:left w:w="120" w:type="dxa"/>
              <w:bottom w:w="80" w:type="dxa"/>
              <w:right w:w="120" w:type="dxa"/>
            </w:tcMar>
          </w:tcPr>
          <w:p w14:paraId="514A3DD1" w14:textId="77777777" w:rsidR="003271FC" w:rsidRDefault="003271FC" w:rsidP="00CF1664">
            <w:r>
              <w:rPr>
                <w:rFonts w:ascii="Arial" w:eastAsia="Arial" w:hAnsi="Arial" w:cs="Arial"/>
                <w:color w:val="000000"/>
                <w:sz w:val="22"/>
                <w:szCs w:val="22"/>
              </w:rPr>
              <w:t>0.91</w:t>
            </w:r>
          </w:p>
        </w:tc>
        <w:tc>
          <w:tcPr>
            <w:tcW w:w="3120" w:type="dxa"/>
            <w:shd w:val="clear" w:color="auto" w:fill="FFFFFF"/>
            <w:tcMar>
              <w:top w:w="80" w:type="dxa"/>
              <w:left w:w="120" w:type="dxa"/>
              <w:bottom w:w="80" w:type="dxa"/>
              <w:right w:w="120" w:type="dxa"/>
            </w:tcMar>
          </w:tcPr>
          <w:p w14:paraId="28326AB8" w14:textId="77777777" w:rsidR="003271FC" w:rsidRDefault="003271FC" w:rsidP="00CF1664">
            <w:r>
              <w:rPr>
                <w:rFonts w:ascii="Arial" w:eastAsia="Arial" w:hAnsi="Arial" w:cs="Arial"/>
                <w:color w:val="000000"/>
                <w:sz w:val="22"/>
                <w:szCs w:val="22"/>
              </w:rPr>
              <w:t>0.86</w:t>
            </w:r>
          </w:p>
        </w:tc>
      </w:tr>
    </w:tbl>
    <w:p w14:paraId="56C100BA" w14:textId="77777777" w:rsidR="003271FC" w:rsidRDefault="003271FC" w:rsidP="003271FC">
      <w:pPr>
        <w:spacing w:before="80" w:after="200"/>
        <w:jc w:val="center"/>
      </w:pPr>
      <w:r>
        <w:rPr>
          <w:rFonts w:ascii="Arial" w:eastAsia="Arial" w:hAnsi="Arial" w:cs="Arial"/>
          <w:i/>
          <w:iCs/>
          <w:color w:val="555555"/>
          <w:sz w:val="22"/>
          <w:szCs w:val="22"/>
        </w:rPr>
        <w:t>Table 4.1: Performance metrics of the Random Forest success prediction model evaluated on training and held-out test partitions.</w:t>
      </w:r>
    </w:p>
    <w:p w14:paraId="4545CED7" w14:textId="77777777" w:rsidR="003271FC" w:rsidRDefault="003271FC" w:rsidP="003271FC">
      <w:pPr>
        <w:spacing w:before="120"/>
      </w:pPr>
    </w:p>
    <w:p w14:paraId="221CDDD5" w14:textId="77777777" w:rsidR="003271FC" w:rsidRPr="00C356F4" w:rsidRDefault="003271FC" w:rsidP="003271FC">
      <w:pPr>
        <w:pStyle w:val="Heading3"/>
        <w:rPr>
          <w:color w:val="000000" w:themeColor="text1"/>
        </w:rPr>
      </w:pPr>
      <w:r>
        <w:rPr>
          <w:rFonts w:ascii="Arial" w:eastAsia="Arial" w:hAnsi="Arial" w:cs="Arial"/>
          <w:b/>
          <w:bCs/>
          <w:color w:val="000000" w:themeColor="text1"/>
          <w:sz w:val="26"/>
          <w:szCs w:val="26"/>
        </w:rPr>
        <w:t>4.3.2 Feature Importance Analysis</w:t>
      </w:r>
    </w:p>
    <w:p w14:paraId="4876F20B" w14:textId="77777777" w:rsidR="003271FC" w:rsidRDefault="003271FC" w:rsidP="003271FC">
      <w:pPr>
        <w:spacing w:before="120" w:after="120" w:line="360" w:lineRule="auto"/>
        <w:jc w:val="both"/>
      </w:pPr>
      <w:r>
        <w:rPr>
          <w:rFonts w:ascii="Arial" w:eastAsia="Arial" w:hAnsi="Arial" w:cs="Arial"/>
        </w:rPr>
        <w:t>Feature importance scores were extracted from the trained Random Forest model using the built-in feature_importances_ attribute, which computes the mean decrease in impurity across all trees in the ensemble for each feature. The results confirm several intuitive hypotheses about student success predictors while also surfacing some less obvious relationships.</w:t>
      </w:r>
    </w:p>
    <w:p w14:paraId="16307CA5" w14:textId="77777777" w:rsidR="003271FC" w:rsidRDefault="003271FC" w:rsidP="003271FC">
      <w:pPr>
        <w:spacing w:before="120" w:after="120" w:line="360" w:lineRule="auto"/>
        <w:jc w:val="both"/>
      </w:pPr>
      <w:r>
        <w:rPr>
          <w:rFonts w:ascii="Arial" w:eastAsia="Arial" w:hAnsi="Arial" w:cs="Arial"/>
        </w:rPr>
        <w:t>The single most predictive feature was the previous_course_completion_rate, which measures the fraction of previously enrolled courses that the student has completed prior to the current enrollment. This feature contributed 28.4% of the total feature importance, reflecting the well-established finding in educational psychology that past academic behaviour is the strongest predictor of future academic behaviour. Students who have demonstrated the ability and motivation to complete previous courses are significantly more likely to complete their current enrollment.</w:t>
      </w:r>
    </w:p>
    <w:p w14:paraId="5D2A87F4" w14:textId="77777777" w:rsidR="003271FC" w:rsidRDefault="003271FC" w:rsidP="003271FC">
      <w:pPr>
        <w:spacing w:before="120" w:after="120" w:line="360" w:lineRule="auto"/>
        <w:jc w:val="both"/>
      </w:pPr>
      <w:r>
        <w:rPr>
          <w:rFonts w:ascii="Arial" w:eastAsia="Arial" w:hAnsi="Arial" w:cs="Arial"/>
        </w:rPr>
        <w:t>The second most important feature was average_quiz_score, accounting for 21.7% of total importance. This finding aligns with the understanding that quiz performance serves as a proxy for both student ability and student engagement — students who score highly on quizzes are demonstrating not only that they have mastered the assessed content but also that they are investing sufficient time and cognitive effort to engage meaningfully with the material.</w:t>
      </w:r>
    </w:p>
    <w:p w14:paraId="43AE7674" w14:textId="77777777" w:rsidR="003271FC" w:rsidRDefault="003271FC" w:rsidP="003271FC">
      <w:pPr>
        <w:spacing w:before="120" w:after="120" w:line="360" w:lineRule="auto"/>
        <w:jc w:val="both"/>
      </w:pPr>
      <w:r>
        <w:rPr>
          <w:rFonts w:ascii="Arial" w:eastAsia="Arial" w:hAnsi="Arial" w:cs="Arial"/>
        </w:rPr>
        <w:t xml:space="preserve">The total_time_spent feature, representing the cumulative number of seconds the student has spent engaged with lesson content, contributed 18.3% of total importance. This feature captures the behavioural dimension of engagement that quiz scores alone cannot measure; a student who spends significant time on </w:t>
      </w:r>
      <w:r>
        <w:rPr>
          <w:rFonts w:ascii="Arial" w:eastAsia="Arial" w:hAnsi="Arial" w:cs="Arial"/>
        </w:rPr>
        <w:lastRenderedPageBreak/>
        <w:t>lesson material is demonstrating persistence and commitment even if their quiz scores remain modest.</w:t>
      </w:r>
    </w:p>
    <w:p w14:paraId="65F35187" w14:textId="105663D2" w:rsidR="003271FC" w:rsidRDefault="003271FC" w:rsidP="00466A93">
      <w:pPr>
        <w:spacing w:before="120" w:after="120" w:line="360" w:lineRule="auto"/>
        <w:jc w:val="both"/>
      </w:pPr>
      <w:r>
        <w:rPr>
          <w:rFonts w:ascii="Arial" w:eastAsia="Arial" w:hAnsi="Arial" w:cs="Arial"/>
        </w:rPr>
        <w:t xml:space="preserve">The current_streak_length feature contributed 12.1% of total importance, reflecting the gamification layer's relationship to overall course persistence. Students who maintain a consistent daily learning habit as evidenced by an active streak are more likely to sustain their engagement long enough to complete a course. The learning_style feature, encoded as an ordinal variable, contributed 9.8% of total importance, indicating that a student's preferred mode of information processing does have a meaningful relationship with their likelihood of course completion, though it is less dominant than </w:t>
      </w:r>
      <w:proofErr w:type="spellStart"/>
      <w:r>
        <w:rPr>
          <w:rFonts w:ascii="Arial" w:eastAsia="Arial" w:hAnsi="Arial" w:cs="Arial"/>
        </w:rPr>
        <w:t>behavioural</w:t>
      </w:r>
      <w:proofErr w:type="spellEnd"/>
      <w:r>
        <w:rPr>
          <w:rFonts w:ascii="Arial" w:eastAsia="Arial" w:hAnsi="Arial" w:cs="Arial"/>
        </w:rPr>
        <w:t xml:space="preserve"> features.</w:t>
      </w:r>
    </w:p>
    <w:p w14:paraId="428B9D28" w14:textId="77777777" w:rsidR="003271FC" w:rsidRPr="00C356F4" w:rsidRDefault="003271FC" w:rsidP="003271FC">
      <w:pPr>
        <w:pStyle w:val="Heading2"/>
        <w:rPr>
          <w:color w:val="000000" w:themeColor="text1"/>
        </w:rPr>
      </w:pPr>
      <w:r>
        <w:rPr>
          <w:rFonts w:ascii="Arial" w:eastAsia="Arial" w:hAnsi="Arial" w:cs="Arial"/>
          <w:color w:val="000000" w:themeColor="text1"/>
        </w:rPr>
        <w:t>4.4 Recommendation Engine Results</w:t>
      </w:r>
    </w:p>
    <w:p w14:paraId="0118DDB4" w14:textId="77777777" w:rsidR="003271FC" w:rsidRDefault="003271FC" w:rsidP="003271FC">
      <w:pPr>
        <w:spacing w:before="120" w:after="120" w:line="360" w:lineRule="auto"/>
        <w:jc w:val="both"/>
      </w:pPr>
      <w:r>
        <w:rPr>
          <w:rFonts w:ascii="Arial" w:eastAsia="Arial" w:hAnsi="Arial" w:cs="Arial"/>
        </w:rPr>
        <w:t>The LearnLogix recommendation engine is implemented in the recommender.py module and is exposed through the /api/recommendations/ endpoint. The system employs a content-based filtering approach that constructs a relevance score for each candidate course relative to the authenticated student's profile. The three highest-scoring courses that the student has not yet enrolled in are returned as personalised recommendations.</w:t>
      </w:r>
    </w:p>
    <w:p w14:paraId="31FDF186" w14:textId="77777777" w:rsidR="003271FC" w:rsidRDefault="003271FC" w:rsidP="003271FC">
      <w:pPr>
        <w:spacing w:before="120" w:after="120" w:line="360" w:lineRule="auto"/>
        <w:jc w:val="both"/>
      </w:pPr>
      <w:r>
        <w:rPr>
          <w:rFonts w:ascii="Arial" w:eastAsia="Arial" w:hAnsi="Arial" w:cs="Arial"/>
        </w:rPr>
        <w:t>The scoring mechanism operates in two stages. In the first stage, the student's declared interests and the categories associated with each course are compared. For every category tag attached to the course that matches one of the student's registered interest categories, the course receives ten points. This category interest match is the most heavily weighted signal in the algorithm, reflecting the intuition that topical alignment between a student's interests and a course's subject matter is the most direct predictor of enrolment intent.</w:t>
      </w:r>
    </w:p>
    <w:p w14:paraId="76275ED2" w14:textId="77777777" w:rsidR="003271FC" w:rsidRDefault="003271FC" w:rsidP="003271FC">
      <w:pPr>
        <w:spacing w:before="120" w:after="120" w:line="360" w:lineRule="auto"/>
        <w:jc w:val="both"/>
      </w:pPr>
      <w:r>
        <w:rPr>
          <w:rFonts w:ascii="Arial" w:eastAsia="Arial" w:hAnsi="Arial" w:cs="Arial"/>
        </w:rPr>
        <w:t xml:space="preserve">In the second stage, the student's interest keywords are compared against the textual description field of each course. For every skill keyword that appears in the course description, the course receives five points. This text-based matching is less heavily weighted than the category match because the course description may contain terms that are tangentially related to a student's interests without being a genuine match for their learning goals. The combination of category-level and </w:t>
      </w:r>
      <w:r>
        <w:rPr>
          <w:rFonts w:ascii="Arial" w:eastAsia="Arial" w:hAnsi="Arial" w:cs="Arial"/>
        </w:rPr>
        <w:lastRenderedPageBreak/>
        <w:t>keyword-level matching produces a nuanced relevance score that captures both broad topical fit and specific skill alignment.</w:t>
      </w:r>
    </w:p>
    <w:p w14:paraId="5F6D8C05" w14:textId="77777777" w:rsidR="003271FC" w:rsidRDefault="003271FC" w:rsidP="003271FC">
      <w:pPr>
        <w:spacing w:before="120" w:after="120" w:line="360" w:lineRule="auto"/>
        <w:jc w:val="both"/>
      </w:pPr>
      <w:r>
        <w:rPr>
          <w:rFonts w:ascii="Arial" w:eastAsia="Arial" w:hAnsi="Arial" w:cs="Arial"/>
        </w:rPr>
        <w:t>For newly registered students who have not yet declared any interests — the so-called cold-start scenario — the recommendation engine falls back to a popularity-based ranking. Courses are ranked in descending order of their total enrollment count, and the top three most-enrolled courses that the student has not yet joined are returned as recommendations. This fallback ensures that new students are always presented with a non-empty, contextually reasonable set of suggestions even before they have built up a profile.</w:t>
      </w:r>
    </w:p>
    <w:p w14:paraId="656A7D69" w14:textId="03E983B1" w:rsidR="003271FC" w:rsidRDefault="003271FC" w:rsidP="003271FC">
      <w:pPr>
        <w:spacing w:before="120" w:after="120" w:line="360" w:lineRule="auto"/>
        <w:jc w:val="both"/>
      </w:pPr>
      <w:r>
        <w:rPr>
          <w:rFonts w:ascii="Arial" w:eastAsia="Arial" w:hAnsi="Arial" w:cs="Arial"/>
        </w:rPr>
        <w:t xml:space="preserve">To evaluate the recommendation engine's effectiveness, a retrospective analysis was conducted on the enrollment data. For each student, the courses they ultimately enrolled in were treated as the ground truth relevant set. The recommendation engine was then run against each student's profile at a simulated earlier point in </w:t>
      </w:r>
      <w:proofErr w:type="gramStart"/>
      <w:r>
        <w:rPr>
          <w:rFonts w:ascii="Arial" w:eastAsia="Arial" w:hAnsi="Arial" w:cs="Arial"/>
        </w:rPr>
        <w:t>time  specifically</w:t>
      </w:r>
      <w:proofErr w:type="gramEnd"/>
      <w:r>
        <w:rPr>
          <w:rFonts w:ascii="Arial" w:eastAsia="Arial" w:hAnsi="Arial" w:cs="Arial"/>
        </w:rPr>
        <w:t xml:space="preserve">, using only the interests declared at </w:t>
      </w:r>
      <w:proofErr w:type="gramStart"/>
      <w:r>
        <w:rPr>
          <w:rFonts w:ascii="Arial" w:eastAsia="Arial" w:hAnsi="Arial" w:cs="Arial"/>
        </w:rPr>
        <w:t>registration  and</w:t>
      </w:r>
      <w:proofErr w:type="gramEnd"/>
      <w:r>
        <w:rPr>
          <w:rFonts w:ascii="Arial" w:eastAsia="Arial" w:hAnsi="Arial" w:cs="Arial"/>
        </w:rPr>
        <w:t xml:space="preserve"> the three recommended courses were compared to the ground truth set.</w:t>
      </w:r>
    </w:p>
    <w:p w14:paraId="415A0E45" w14:textId="77777777" w:rsidR="003271FC" w:rsidRDefault="003271FC" w:rsidP="003271FC">
      <w:pPr>
        <w:spacing w:before="120" w:after="120" w:line="360" w:lineRule="auto"/>
        <w:jc w:val="both"/>
      </w:pPr>
      <w:r>
        <w:rPr>
          <w:rFonts w:ascii="Arial" w:eastAsia="Arial" w:hAnsi="Arial" w:cs="Arial"/>
        </w:rPr>
        <w:t>The analysis yielded a precision@3 of 0.61, indicating that on average, 1.83 of the three recommended courses were courses that the student subsequently enrolled in. The recall@3 was 0.44, meaning that 44% of courses that a student eventually enrolled in were captured within the top three recommendations. These figures are consistent with the performance reported in the educational recommendation systems literature for content-based filtering approaches and represent a meaningful improvement over a random baseline, which would yield a precision@3 of approximately 0.12 given the course catalog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66A93" w14:paraId="71B36536" w14:textId="77777777" w:rsidTr="00C356F4">
        <w:trPr>
          <w:tblHeader/>
        </w:trPr>
        <w:tc>
          <w:tcPr>
            <w:tcW w:w="2340" w:type="dxa"/>
            <w:tcMar>
              <w:top w:w="80" w:type="dxa"/>
              <w:left w:w="120" w:type="dxa"/>
              <w:bottom w:w="80" w:type="dxa"/>
              <w:right w:w="120" w:type="dxa"/>
            </w:tcMar>
          </w:tcPr>
          <w:p w14:paraId="36E240D6" w14:textId="77777777" w:rsidR="003271FC" w:rsidRPr="00C356F4" w:rsidRDefault="003271FC" w:rsidP="00CF1664">
            <w:pPr>
              <w:rPr>
                <w:color w:val="000000" w:themeColor="text1"/>
              </w:rPr>
            </w:pPr>
            <w:r>
              <w:rPr>
                <w:rFonts w:ascii="Arial" w:eastAsia="Arial" w:hAnsi="Arial" w:cs="Arial"/>
                <w:b/>
                <w:bCs/>
                <w:color w:val="000000" w:themeColor="text1"/>
                <w:sz w:val="22"/>
                <w:szCs w:val="22"/>
              </w:rPr>
              <w:t>Metric</w:t>
            </w:r>
          </w:p>
        </w:tc>
        <w:tc>
          <w:tcPr>
            <w:tcW w:w="2340" w:type="dxa"/>
            <w:tcMar>
              <w:top w:w="80" w:type="dxa"/>
              <w:left w:w="120" w:type="dxa"/>
              <w:bottom w:w="80" w:type="dxa"/>
              <w:right w:w="120" w:type="dxa"/>
            </w:tcMar>
          </w:tcPr>
          <w:p w14:paraId="20DE2E6E" w14:textId="77777777" w:rsidR="003271FC" w:rsidRPr="00C356F4" w:rsidRDefault="003271FC" w:rsidP="00CF1664">
            <w:pPr>
              <w:rPr>
                <w:color w:val="000000" w:themeColor="text1"/>
              </w:rPr>
            </w:pPr>
            <w:r>
              <w:rPr>
                <w:rFonts w:ascii="Arial" w:eastAsia="Arial" w:hAnsi="Arial" w:cs="Arial"/>
                <w:b/>
                <w:bCs/>
                <w:color w:val="000000" w:themeColor="text1"/>
                <w:sz w:val="22"/>
                <w:szCs w:val="22"/>
              </w:rPr>
              <w:t>Content-Based Filtering</w:t>
            </w:r>
          </w:p>
        </w:tc>
        <w:tc>
          <w:tcPr>
            <w:tcW w:w="2340" w:type="dxa"/>
            <w:tcMar>
              <w:top w:w="80" w:type="dxa"/>
              <w:left w:w="120" w:type="dxa"/>
              <w:bottom w:w="80" w:type="dxa"/>
              <w:right w:w="120" w:type="dxa"/>
            </w:tcMar>
          </w:tcPr>
          <w:p w14:paraId="06A7FFE4" w14:textId="77777777" w:rsidR="003271FC" w:rsidRPr="00C356F4" w:rsidRDefault="003271FC" w:rsidP="00CF1664">
            <w:pPr>
              <w:rPr>
                <w:color w:val="000000" w:themeColor="text1"/>
              </w:rPr>
            </w:pPr>
            <w:r>
              <w:rPr>
                <w:rFonts w:ascii="Arial" w:eastAsia="Arial" w:hAnsi="Arial" w:cs="Arial"/>
                <w:b/>
                <w:bCs/>
                <w:color w:val="000000" w:themeColor="text1"/>
                <w:sz w:val="22"/>
                <w:szCs w:val="22"/>
              </w:rPr>
              <w:t>Popularity Fallback</w:t>
            </w:r>
          </w:p>
        </w:tc>
        <w:tc>
          <w:tcPr>
            <w:tcW w:w="2340" w:type="dxa"/>
            <w:tcMar>
              <w:top w:w="80" w:type="dxa"/>
              <w:left w:w="120" w:type="dxa"/>
              <w:bottom w:w="80" w:type="dxa"/>
              <w:right w:w="120" w:type="dxa"/>
            </w:tcMar>
          </w:tcPr>
          <w:p w14:paraId="76107DB4" w14:textId="77777777" w:rsidR="003271FC" w:rsidRPr="00C356F4" w:rsidRDefault="003271FC" w:rsidP="00CF1664">
            <w:pPr>
              <w:rPr>
                <w:color w:val="000000" w:themeColor="text1"/>
              </w:rPr>
            </w:pPr>
            <w:r>
              <w:rPr>
                <w:rFonts w:ascii="Arial" w:eastAsia="Arial" w:hAnsi="Arial" w:cs="Arial"/>
                <w:b/>
                <w:bCs/>
                <w:color w:val="000000" w:themeColor="text1"/>
                <w:sz w:val="22"/>
                <w:szCs w:val="22"/>
              </w:rPr>
              <w:t>Random Baseline</w:t>
            </w:r>
          </w:p>
        </w:tc>
      </w:tr>
      <w:tr w:rsidR="00466A93" w14:paraId="6EAF0063" w14:textId="77777777" w:rsidTr="00CF1664">
        <w:tc>
          <w:tcPr>
            <w:tcW w:w="2340" w:type="dxa"/>
            <w:shd w:val="clear" w:color="auto" w:fill="FFFFFF"/>
            <w:tcMar>
              <w:top w:w="80" w:type="dxa"/>
              <w:left w:w="120" w:type="dxa"/>
              <w:bottom w:w="80" w:type="dxa"/>
              <w:right w:w="120" w:type="dxa"/>
            </w:tcMar>
          </w:tcPr>
          <w:p w14:paraId="0A3ECE85" w14:textId="77777777" w:rsidR="003271FC" w:rsidRDefault="003271FC" w:rsidP="00CF1664">
            <w:r>
              <w:rPr>
                <w:rFonts w:ascii="Arial" w:eastAsia="Arial" w:hAnsi="Arial" w:cs="Arial"/>
                <w:color w:val="000000"/>
                <w:sz w:val="22"/>
                <w:szCs w:val="22"/>
              </w:rPr>
              <w:t>Precision@3</w:t>
            </w:r>
          </w:p>
        </w:tc>
        <w:tc>
          <w:tcPr>
            <w:tcW w:w="2340" w:type="dxa"/>
            <w:shd w:val="clear" w:color="auto" w:fill="FFFFFF"/>
            <w:tcMar>
              <w:top w:w="80" w:type="dxa"/>
              <w:left w:w="120" w:type="dxa"/>
              <w:bottom w:w="80" w:type="dxa"/>
              <w:right w:w="120" w:type="dxa"/>
            </w:tcMar>
          </w:tcPr>
          <w:p w14:paraId="26856835" w14:textId="77777777" w:rsidR="003271FC" w:rsidRDefault="003271FC" w:rsidP="00CF1664">
            <w:r>
              <w:rPr>
                <w:rFonts w:ascii="Arial" w:eastAsia="Arial" w:hAnsi="Arial" w:cs="Arial"/>
                <w:color w:val="000000"/>
                <w:sz w:val="22"/>
                <w:szCs w:val="22"/>
              </w:rPr>
              <w:t>0.61</w:t>
            </w:r>
          </w:p>
        </w:tc>
        <w:tc>
          <w:tcPr>
            <w:tcW w:w="2340" w:type="dxa"/>
            <w:shd w:val="clear" w:color="auto" w:fill="FFFFFF"/>
            <w:tcMar>
              <w:top w:w="80" w:type="dxa"/>
              <w:left w:w="120" w:type="dxa"/>
              <w:bottom w:w="80" w:type="dxa"/>
              <w:right w:w="120" w:type="dxa"/>
            </w:tcMar>
          </w:tcPr>
          <w:p w14:paraId="66FB9351" w14:textId="77777777" w:rsidR="003271FC" w:rsidRDefault="003271FC" w:rsidP="00CF1664">
            <w:r>
              <w:rPr>
                <w:rFonts w:ascii="Arial" w:eastAsia="Arial" w:hAnsi="Arial" w:cs="Arial"/>
                <w:color w:val="000000"/>
                <w:sz w:val="22"/>
                <w:szCs w:val="22"/>
              </w:rPr>
              <w:t>0.38</w:t>
            </w:r>
          </w:p>
        </w:tc>
        <w:tc>
          <w:tcPr>
            <w:tcW w:w="2340" w:type="dxa"/>
            <w:shd w:val="clear" w:color="auto" w:fill="FFFFFF"/>
            <w:tcMar>
              <w:top w:w="80" w:type="dxa"/>
              <w:left w:w="120" w:type="dxa"/>
              <w:bottom w:w="80" w:type="dxa"/>
              <w:right w:w="120" w:type="dxa"/>
            </w:tcMar>
          </w:tcPr>
          <w:p w14:paraId="5C4F7100" w14:textId="77777777" w:rsidR="003271FC" w:rsidRDefault="003271FC" w:rsidP="00CF1664">
            <w:r>
              <w:rPr>
                <w:rFonts w:ascii="Arial" w:eastAsia="Arial" w:hAnsi="Arial" w:cs="Arial"/>
                <w:color w:val="000000"/>
                <w:sz w:val="22"/>
                <w:szCs w:val="22"/>
              </w:rPr>
              <w:t>0.12</w:t>
            </w:r>
          </w:p>
        </w:tc>
      </w:tr>
      <w:tr w:rsidR="00466A93" w14:paraId="3772FD59" w14:textId="77777777" w:rsidTr="00CF1664">
        <w:tc>
          <w:tcPr>
            <w:tcW w:w="2340" w:type="dxa"/>
            <w:shd w:val="clear" w:color="auto" w:fill="FFFFFF"/>
            <w:tcMar>
              <w:top w:w="80" w:type="dxa"/>
              <w:left w:w="120" w:type="dxa"/>
              <w:bottom w:w="80" w:type="dxa"/>
              <w:right w:w="120" w:type="dxa"/>
            </w:tcMar>
          </w:tcPr>
          <w:p w14:paraId="4AAECBAD" w14:textId="77777777" w:rsidR="003271FC" w:rsidRDefault="003271FC" w:rsidP="00CF1664">
            <w:r>
              <w:rPr>
                <w:rFonts w:ascii="Arial" w:eastAsia="Arial" w:hAnsi="Arial" w:cs="Arial"/>
                <w:color w:val="000000"/>
                <w:sz w:val="22"/>
                <w:szCs w:val="22"/>
              </w:rPr>
              <w:t>Recall@3</w:t>
            </w:r>
          </w:p>
        </w:tc>
        <w:tc>
          <w:tcPr>
            <w:tcW w:w="2340" w:type="dxa"/>
            <w:shd w:val="clear" w:color="auto" w:fill="FFFFFF"/>
            <w:tcMar>
              <w:top w:w="80" w:type="dxa"/>
              <w:left w:w="120" w:type="dxa"/>
              <w:bottom w:w="80" w:type="dxa"/>
              <w:right w:w="120" w:type="dxa"/>
            </w:tcMar>
          </w:tcPr>
          <w:p w14:paraId="2EC8937A" w14:textId="77777777" w:rsidR="003271FC" w:rsidRDefault="003271FC" w:rsidP="00CF1664">
            <w:r>
              <w:rPr>
                <w:rFonts w:ascii="Arial" w:eastAsia="Arial" w:hAnsi="Arial" w:cs="Arial"/>
                <w:color w:val="000000"/>
                <w:sz w:val="22"/>
                <w:szCs w:val="22"/>
              </w:rPr>
              <w:t>0.44</w:t>
            </w:r>
          </w:p>
        </w:tc>
        <w:tc>
          <w:tcPr>
            <w:tcW w:w="2340" w:type="dxa"/>
            <w:shd w:val="clear" w:color="auto" w:fill="FFFFFF"/>
            <w:tcMar>
              <w:top w:w="80" w:type="dxa"/>
              <w:left w:w="120" w:type="dxa"/>
              <w:bottom w:w="80" w:type="dxa"/>
              <w:right w:w="120" w:type="dxa"/>
            </w:tcMar>
          </w:tcPr>
          <w:p w14:paraId="5FCE6AD0" w14:textId="77777777" w:rsidR="003271FC" w:rsidRDefault="003271FC" w:rsidP="00CF1664">
            <w:r>
              <w:rPr>
                <w:rFonts w:ascii="Arial" w:eastAsia="Arial" w:hAnsi="Arial" w:cs="Arial"/>
                <w:color w:val="000000"/>
                <w:sz w:val="22"/>
                <w:szCs w:val="22"/>
              </w:rPr>
              <w:t>0.29</w:t>
            </w:r>
          </w:p>
        </w:tc>
        <w:tc>
          <w:tcPr>
            <w:tcW w:w="2340" w:type="dxa"/>
            <w:shd w:val="clear" w:color="auto" w:fill="FFFFFF"/>
            <w:tcMar>
              <w:top w:w="80" w:type="dxa"/>
              <w:left w:w="120" w:type="dxa"/>
              <w:bottom w:w="80" w:type="dxa"/>
              <w:right w:w="120" w:type="dxa"/>
            </w:tcMar>
          </w:tcPr>
          <w:p w14:paraId="0CE48FF2" w14:textId="77777777" w:rsidR="003271FC" w:rsidRDefault="003271FC" w:rsidP="00CF1664">
            <w:r>
              <w:rPr>
                <w:rFonts w:ascii="Arial" w:eastAsia="Arial" w:hAnsi="Arial" w:cs="Arial"/>
                <w:color w:val="000000"/>
                <w:sz w:val="22"/>
                <w:szCs w:val="22"/>
              </w:rPr>
              <w:t>0.09</w:t>
            </w:r>
          </w:p>
        </w:tc>
      </w:tr>
      <w:tr w:rsidR="00466A93" w14:paraId="57E882E9" w14:textId="77777777" w:rsidTr="00CF1664">
        <w:tc>
          <w:tcPr>
            <w:tcW w:w="2340" w:type="dxa"/>
            <w:shd w:val="clear" w:color="auto" w:fill="FFFFFF"/>
            <w:tcMar>
              <w:top w:w="80" w:type="dxa"/>
              <w:left w:w="120" w:type="dxa"/>
              <w:bottom w:w="80" w:type="dxa"/>
              <w:right w:w="120" w:type="dxa"/>
            </w:tcMar>
          </w:tcPr>
          <w:p w14:paraId="516E0F48" w14:textId="77777777" w:rsidR="003271FC" w:rsidRDefault="003271FC" w:rsidP="00CF1664">
            <w:r>
              <w:rPr>
                <w:rFonts w:ascii="Arial" w:eastAsia="Arial" w:hAnsi="Arial" w:cs="Arial"/>
                <w:color w:val="000000"/>
                <w:sz w:val="22"/>
                <w:szCs w:val="22"/>
              </w:rPr>
              <w:t>Mean Reciprocal Rank</w:t>
            </w:r>
          </w:p>
        </w:tc>
        <w:tc>
          <w:tcPr>
            <w:tcW w:w="2340" w:type="dxa"/>
            <w:shd w:val="clear" w:color="auto" w:fill="FFFFFF"/>
            <w:tcMar>
              <w:top w:w="80" w:type="dxa"/>
              <w:left w:w="120" w:type="dxa"/>
              <w:bottom w:w="80" w:type="dxa"/>
              <w:right w:w="120" w:type="dxa"/>
            </w:tcMar>
          </w:tcPr>
          <w:p w14:paraId="064D0FBB" w14:textId="77777777" w:rsidR="003271FC" w:rsidRDefault="003271FC" w:rsidP="00CF1664">
            <w:r>
              <w:rPr>
                <w:rFonts w:ascii="Arial" w:eastAsia="Arial" w:hAnsi="Arial" w:cs="Arial"/>
                <w:color w:val="000000"/>
                <w:sz w:val="22"/>
                <w:szCs w:val="22"/>
              </w:rPr>
              <w:t>0.57</w:t>
            </w:r>
          </w:p>
        </w:tc>
        <w:tc>
          <w:tcPr>
            <w:tcW w:w="2340" w:type="dxa"/>
            <w:shd w:val="clear" w:color="auto" w:fill="FFFFFF"/>
            <w:tcMar>
              <w:top w:w="80" w:type="dxa"/>
              <w:left w:w="120" w:type="dxa"/>
              <w:bottom w:w="80" w:type="dxa"/>
              <w:right w:w="120" w:type="dxa"/>
            </w:tcMar>
          </w:tcPr>
          <w:p w14:paraId="556132DA" w14:textId="77777777" w:rsidR="003271FC" w:rsidRDefault="003271FC" w:rsidP="00CF1664">
            <w:r>
              <w:rPr>
                <w:rFonts w:ascii="Arial" w:eastAsia="Arial" w:hAnsi="Arial" w:cs="Arial"/>
                <w:color w:val="000000"/>
                <w:sz w:val="22"/>
                <w:szCs w:val="22"/>
              </w:rPr>
              <w:t>0.34</w:t>
            </w:r>
          </w:p>
        </w:tc>
        <w:tc>
          <w:tcPr>
            <w:tcW w:w="2340" w:type="dxa"/>
            <w:shd w:val="clear" w:color="auto" w:fill="FFFFFF"/>
            <w:tcMar>
              <w:top w:w="80" w:type="dxa"/>
              <w:left w:w="120" w:type="dxa"/>
              <w:bottom w:w="80" w:type="dxa"/>
              <w:right w:w="120" w:type="dxa"/>
            </w:tcMar>
          </w:tcPr>
          <w:p w14:paraId="0CE8BEB3" w14:textId="77777777" w:rsidR="003271FC" w:rsidRDefault="003271FC" w:rsidP="00CF1664">
            <w:r>
              <w:rPr>
                <w:rFonts w:ascii="Arial" w:eastAsia="Arial" w:hAnsi="Arial" w:cs="Arial"/>
                <w:color w:val="000000"/>
                <w:sz w:val="22"/>
                <w:szCs w:val="22"/>
              </w:rPr>
              <w:t>0.11</w:t>
            </w:r>
          </w:p>
        </w:tc>
      </w:tr>
    </w:tbl>
    <w:p w14:paraId="0DF31318" w14:textId="77777777" w:rsidR="003271FC" w:rsidRDefault="003271FC" w:rsidP="003271FC">
      <w:pPr>
        <w:spacing w:before="80" w:after="200"/>
        <w:jc w:val="center"/>
      </w:pPr>
      <w:r>
        <w:rPr>
          <w:rFonts w:ascii="Arial" w:eastAsia="Arial" w:hAnsi="Arial" w:cs="Arial"/>
          <w:i/>
          <w:iCs/>
          <w:color w:val="555555"/>
          <w:sz w:val="22"/>
          <w:szCs w:val="22"/>
        </w:rPr>
        <w:t>Table 4.2: Recommendation engine performance comparison between content-based filtering, popularity fallback, and a random baseline.</w:t>
      </w:r>
    </w:p>
    <w:p w14:paraId="41302928" w14:textId="77777777" w:rsidR="003271FC" w:rsidRDefault="003271FC" w:rsidP="003271FC">
      <w:pPr>
        <w:spacing w:before="200"/>
      </w:pPr>
    </w:p>
    <w:p w14:paraId="0275F6DF" w14:textId="77777777" w:rsidR="00466A93" w:rsidRDefault="00466A93" w:rsidP="003271FC">
      <w:pPr>
        <w:pStyle w:val="Heading2"/>
        <w:rPr>
          <w:rFonts w:ascii="Arial" w:eastAsia="Arial" w:hAnsi="Arial" w:cs="Arial"/>
          <w:color w:val="000000" w:themeColor="text1"/>
        </w:rPr>
      </w:pPr>
    </w:p>
    <w:p w14:paraId="6FA7A82A" w14:textId="306DE1A3" w:rsidR="003271FC" w:rsidRPr="00C356F4" w:rsidRDefault="003271FC" w:rsidP="003271FC">
      <w:pPr>
        <w:pStyle w:val="Heading2"/>
        <w:rPr>
          <w:color w:val="000000" w:themeColor="text1"/>
        </w:rPr>
      </w:pPr>
      <w:r>
        <w:rPr>
          <w:rFonts w:ascii="Arial" w:eastAsia="Arial" w:hAnsi="Arial" w:cs="Arial"/>
          <w:color w:val="000000" w:themeColor="text1"/>
        </w:rPr>
        <w:lastRenderedPageBreak/>
        <w:t>4.5 Learning Analytics Results</w:t>
      </w:r>
    </w:p>
    <w:p w14:paraId="0DEB3BC9" w14:textId="77777777" w:rsidR="003271FC" w:rsidRDefault="003271FC" w:rsidP="003271FC">
      <w:pPr>
        <w:spacing w:before="120" w:after="120" w:line="360" w:lineRule="auto"/>
        <w:jc w:val="both"/>
      </w:pPr>
      <w:r>
        <w:rPr>
          <w:rFonts w:ascii="Arial" w:eastAsia="Arial" w:hAnsi="Arial" w:cs="Arial"/>
        </w:rPr>
        <w:t>Beyond the machine learning models, the LearnLogix platform generates a rich set of descriptive analytics from the accumulated interaction data. These analytics illuminate patterns in student engagement, content effectiveness, and assessment performance that are valuable both to students seeking to understand their own learning behaviour and to instructors seeking to optimise their course offerings.</w:t>
      </w:r>
    </w:p>
    <w:p w14:paraId="1461507C" w14:textId="77777777" w:rsidR="003271FC" w:rsidRDefault="003271FC" w:rsidP="003271FC">
      <w:pPr>
        <w:spacing w:before="120" w:after="120" w:line="360" w:lineRule="auto"/>
        <w:jc w:val="both"/>
      </w:pPr>
      <w:r>
        <w:rPr>
          <w:rFonts w:ascii="Arial" w:eastAsia="Arial" w:hAnsi="Arial" w:cs="Arial"/>
        </w:rPr>
        <w:t>An analysis of time-spent metrics across all lesson completion events revealed that the average time spent per lesson was 18.4 minutes, with a median of 14.2 minutes and a standard deviation of 11.8 minutes. The distribution is right-skewed, reflecting the presence of a minority of lesson completion events in which students spent an extended period — over 60 minutes — on a single lesson. These long-duration sessions are most prevalent in lessons categorised as Interactive, where students engage with exercises and receive feedback, as opposed to Content lessons, which are typically consumed more quickly.</w:t>
      </w:r>
    </w:p>
    <w:p w14:paraId="74595CF1" w14:textId="77777777" w:rsidR="003271FC" w:rsidRDefault="003271FC" w:rsidP="003271FC">
      <w:pPr>
        <w:spacing w:before="120" w:after="120" w:line="360" w:lineRule="auto"/>
        <w:jc w:val="both"/>
      </w:pPr>
      <w:r>
        <w:rPr>
          <w:rFonts w:ascii="Arial" w:eastAsia="Arial" w:hAnsi="Arial" w:cs="Arial"/>
        </w:rPr>
        <w:t>Lesson completion rates were computed for each of the nine course categories in the LearnLogix catalog. Categories in the Technology domain, which comprised web development, data science, and software engineering courses, exhibited the highest mean lesson completion rate at 74.3%. Creative Arts courses showed the lowest mean completion rate at 52.1%, though this figure is partially explained by the higher median lesson count in Creative Arts courses, which creates a longer path to completion. When completion rates were normalised by course length, the gap between the highest and lowest performing categories narrowed considerably.</w:t>
      </w:r>
    </w:p>
    <w:p w14:paraId="234F76B9" w14:textId="77777777" w:rsidR="003271FC" w:rsidRDefault="003271FC" w:rsidP="003271FC">
      <w:pPr>
        <w:spacing w:before="120" w:after="120" w:line="360" w:lineRule="auto"/>
        <w:jc w:val="both"/>
      </w:pPr>
      <w:r>
        <w:rPr>
          <w:rFonts w:ascii="Arial" w:eastAsia="Arial" w:hAnsi="Arial" w:cs="Arial"/>
        </w:rPr>
        <w:t>Quiz performance statistics revealed a mean score of 68.4% across all submitted quiz attempts, with a standard deviation of 14.2 percentage points. The distribution approximated a normal curve with a slight positive skew, indicating that more students scored above the mean than below it — a pattern consistent with the presence of motivated learners who self-select into structured course environments. Quiz attempts associated with lesson modules that the student had spent more than twenty minutes completing showed a mean score of 72.1%, compared to 63.8% for quiz attempts where the preceding lesson was completed in under ten minutes, suggesting a positive relationship between time-on-task and assessment performance.</w:t>
      </w:r>
    </w:p>
    <w:p w14:paraId="15070CBF" w14:textId="77777777" w:rsidR="003271FC" w:rsidRDefault="003271FC" w:rsidP="003271FC">
      <w:pPr>
        <w:spacing w:before="120" w:after="120" w:line="360" w:lineRule="auto"/>
        <w:jc w:val="both"/>
      </w:pPr>
      <w:r>
        <w:rPr>
          <w:rFonts w:ascii="Arial" w:eastAsia="Arial" w:hAnsi="Arial" w:cs="Arial"/>
        </w:rPr>
        <w:lastRenderedPageBreak/>
        <w:t>Temporal analysis of platform engagement data revealed a clear weekly pattern in student activity. The highest lesson completion counts were recorded on Sundays and Saturdays, accounting for 31.2% and 19.8% of weekly completions respectively. Weekday engagement was relatively evenly distributed, with a slight trough on Fridays. Peak hourly engagement occurred between 20:00 and 22:00 local time, consistent with the pattern of learners accessing educational content during evening hours after completing their professional and personal obligations.</w:t>
      </w:r>
    </w:p>
    <w:p w14:paraId="4A80ADD0" w14:textId="77777777" w:rsidR="003271FC" w:rsidRDefault="003271FC" w:rsidP="003271FC">
      <w:pPr>
        <w:spacing w:before="120" w:after="120" w:line="360" w:lineRule="auto"/>
        <w:jc w:val="both"/>
      </w:pPr>
      <w:r>
        <w:rPr>
          <w:rFonts w:ascii="Arial" w:eastAsia="Arial" w:hAnsi="Arial" w:cs="Arial"/>
        </w:rPr>
        <w:t>Streak formation data indicated that 61.3% of students who began using the platform maintained a streak of at least three consecutive days, while 34.7% maintained a streak of seven or more days. The mean streak length at the time of analysis was 6.4 days. Notably, students who maintained a streak of seven or more days showed a course completion rate of 79.2%, compared to 41.8% for students whose maximum streak length was fewer than three days. This correlation between gamification engagement and course completion, while not causal in isolation, strongly suggests that the streak mechanism reinforces the consistent learning habits that are predictive of course completion success.</w:t>
      </w:r>
    </w:p>
    <w:p w14:paraId="4598E7C4" w14:textId="77777777" w:rsidR="003271FC" w:rsidRDefault="003271FC" w:rsidP="003271FC">
      <w:pPr>
        <w:spacing w:before="200"/>
      </w:pPr>
    </w:p>
    <w:p w14:paraId="160036ED" w14:textId="77777777" w:rsidR="003271FC" w:rsidRPr="00C356F4" w:rsidRDefault="003271FC" w:rsidP="003271FC">
      <w:pPr>
        <w:pStyle w:val="Heading2"/>
        <w:rPr>
          <w:color w:val="000000" w:themeColor="text1"/>
        </w:rPr>
      </w:pPr>
      <w:r>
        <w:rPr>
          <w:rFonts w:ascii="Arial" w:eastAsia="Arial" w:hAnsi="Arial" w:cs="Arial"/>
          <w:color w:val="000000" w:themeColor="text1"/>
        </w:rPr>
        <w:t>4.6 Feature Engineering and Data Processing</w:t>
      </w:r>
    </w:p>
    <w:p w14:paraId="2147EB14" w14:textId="77777777" w:rsidR="003271FC" w:rsidRDefault="003271FC" w:rsidP="003271FC">
      <w:pPr>
        <w:spacing w:before="120" w:after="120" w:line="360" w:lineRule="auto"/>
        <w:jc w:val="both"/>
      </w:pPr>
      <w:r>
        <w:rPr>
          <w:rFonts w:ascii="Arial" w:eastAsia="Arial" w:hAnsi="Arial" w:cs="Arial"/>
        </w:rPr>
        <w:t>The feature engineering pipeline, implemented in the features.py module within the ml directory, is responsible for transforming raw database records into the numerical feature vectors consumed by the scikit-learn machine learning models. Feature engineering is a critical step in the machine learning workflow because the quality of the features — their informativeness, their scale, and their freedom from data leakage — directly determines the ceiling of model performance.</w:t>
      </w:r>
    </w:p>
    <w:p w14:paraId="5F1234F5" w14:textId="77777777" w:rsidR="003271FC" w:rsidRDefault="003271FC" w:rsidP="003271FC">
      <w:pPr>
        <w:spacing w:before="120" w:after="120" w:line="360" w:lineRule="auto"/>
        <w:jc w:val="both"/>
      </w:pPr>
      <w:r>
        <w:rPr>
          <w:rFonts w:ascii="Arial" w:eastAsia="Arial" w:hAnsi="Arial" w:cs="Arial"/>
        </w:rPr>
        <w:t>The feature extraction process begins by querying the database for the set of records associated with a given enrollment. This includes the student's StudentProfile record, all LessonProgress records associated with the enrollment, all QuizSubmission records linked to the student, all prior Enrollment records for the student, and the student's UserStreak record. These raw records are then processed to compute the eight engineered features that form the input vector for the success prediction model.</w:t>
      </w:r>
    </w:p>
    <w:p w14:paraId="58867AE9" w14:textId="77777777" w:rsidR="003271FC" w:rsidRPr="00C356F4" w:rsidRDefault="003271FC" w:rsidP="003271FC">
      <w:pPr>
        <w:pStyle w:val="Heading3"/>
        <w:rPr>
          <w:color w:val="000000" w:themeColor="text1"/>
        </w:rPr>
      </w:pPr>
      <w:r>
        <w:rPr>
          <w:rFonts w:ascii="Arial" w:eastAsia="Arial" w:hAnsi="Arial" w:cs="Arial"/>
          <w:b/>
          <w:bCs/>
          <w:color w:val="000000" w:themeColor="text1"/>
          <w:sz w:val="26"/>
          <w:szCs w:val="26"/>
        </w:rPr>
        <w:t>4.6.1 Student Profile Features</w:t>
      </w:r>
    </w:p>
    <w:p w14:paraId="3A2629AA" w14:textId="77777777" w:rsidR="003271FC" w:rsidRDefault="003271FC" w:rsidP="003271FC">
      <w:pPr>
        <w:spacing w:before="120" w:after="120" w:line="360" w:lineRule="auto"/>
        <w:jc w:val="both"/>
      </w:pPr>
      <w:r>
        <w:rPr>
          <w:rFonts w:ascii="Arial" w:eastAsia="Arial" w:hAnsi="Arial" w:cs="Arial"/>
        </w:rPr>
        <w:lastRenderedPageBreak/>
        <w:t>The learning_style feature is extracted from the StudentProfile.learning_style field, which stores one of four categorical values: Visual, Auditory, Read/Write, or Kinesthetic. Because machine learning models require numerical inputs, the four categories are encoded using ordinal encoding: Visual is encoded as 0, Auditory as 1, Read/Write as 2, and Kinesthetic as 3. While ordinal encoding implies an ordering that does not exist among learning style categories, it was preferred over one-hot encoding in this implementation to keep the feature vector compact; the Random Forest model's ensemble structure mitigates the risk of treating this as a truly ordered relationship.</w:t>
      </w:r>
    </w:p>
    <w:p w14:paraId="6519439C" w14:textId="77777777" w:rsidR="003271FC" w:rsidRDefault="003271FC" w:rsidP="003271FC">
      <w:pPr>
        <w:spacing w:before="120" w:after="120" w:line="360" w:lineRule="auto"/>
        <w:jc w:val="both"/>
      </w:pPr>
      <w:r>
        <w:rPr>
          <w:rFonts w:ascii="Arial" w:eastAsia="Arial" w:hAnsi="Arial" w:cs="Arial"/>
        </w:rPr>
        <w:t>The interests_count feature is simply the count of interest tags registered on the student's profile. This feature serves as a proxy for profile completeness and the student's level of initial engagement with the platform onboarding process. Students with a higher number of declared interests tend to receive more precise recommendations, which in turn may contribute to higher enrollment motivation.</w:t>
      </w:r>
    </w:p>
    <w:p w14:paraId="1543A43F" w14:textId="77777777" w:rsidR="003271FC" w:rsidRPr="00C356F4" w:rsidRDefault="003271FC" w:rsidP="003271FC">
      <w:pPr>
        <w:pStyle w:val="Heading3"/>
        <w:rPr>
          <w:color w:val="000000" w:themeColor="text1"/>
        </w:rPr>
      </w:pPr>
      <w:r>
        <w:rPr>
          <w:rFonts w:ascii="Arial" w:eastAsia="Arial" w:hAnsi="Arial" w:cs="Arial"/>
          <w:b/>
          <w:bCs/>
          <w:color w:val="000000" w:themeColor="text1"/>
          <w:sz w:val="26"/>
          <w:szCs w:val="26"/>
        </w:rPr>
        <w:t>4.6.2 Behavioural Features</w:t>
      </w:r>
    </w:p>
    <w:p w14:paraId="5F00BFEE" w14:textId="77777777" w:rsidR="003271FC" w:rsidRDefault="003271FC" w:rsidP="003271FC">
      <w:pPr>
        <w:spacing w:before="120" w:after="120" w:line="360" w:lineRule="auto"/>
        <w:jc w:val="both"/>
      </w:pPr>
      <w:r>
        <w:rPr>
          <w:rFonts w:ascii="Arial" w:eastAsia="Arial" w:hAnsi="Arial" w:cs="Arial"/>
        </w:rPr>
        <w:t>The total_time_spent feature is computed by summing the time_spent field across all LessonProgress records associated with the enrollment. The resulting value, expressed in seconds, is then divided by 3600 to convert to hours before being supplied to the model. This feature captures the student's raw investment of time in the enrolled course and is one of the strongest behavioural predictors of engagement intensity.</w:t>
      </w:r>
    </w:p>
    <w:p w14:paraId="3ACFEC65" w14:textId="77777777" w:rsidR="003271FC" w:rsidRDefault="003271FC" w:rsidP="003271FC">
      <w:pPr>
        <w:spacing w:before="120" w:after="120" w:line="360" w:lineRule="auto"/>
        <w:jc w:val="both"/>
      </w:pPr>
      <w:r>
        <w:rPr>
          <w:rFonts w:ascii="Arial" w:eastAsia="Arial" w:hAnsi="Arial" w:cs="Arial"/>
        </w:rPr>
        <w:t>The lessons_completed_count feature counts the number of LessonProgress records within the enrollment that carry a completed status. This feature measures the student's progress through the course content in absolute terms rather than as a percentage, which allows the model to differentiate between students who are early in a long course and students who are near the end of a short course even when their percentage completion values might be similar.</w:t>
      </w:r>
    </w:p>
    <w:p w14:paraId="55ACBDD9" w14:textId="77777777" w:rsidR="003271FC" w:rsidRDefault="003271FC" w:rsidP="003271FC">
      <w:pPr>
        <w:spacing w:before="120" w:after="120" w:line="360" w:lineRule="auto"/>
        <w:jc w:val="both"/>
      </w:pPr>
      <w:r>
        <w:rPr>
          <w:rFonts w:ascii="Arial" w:eastAsia="Arial" w:hAnsi="Arial" w:cs="Arial"/>
        </w:rPr>
        <w:t>The current_streak_length feature is retrieved directly from the UserStreak.current_streak field for the authenticated student. This feature introduces the gamification dimension into the prediction, capturing the student's recent pattern of daily engagement with the platform.</w:t>
      </w:r>
    </w:p>
    <w:p w14:paraId="5EFC21E5" w14:textId="77777777" w:rsidR="003271FC" w:rsidRDefault="003271FC" w:rsidP="003271FC">
      <w:pPr>
        <w:spacing w:before="120" w:after="120" w:line="360" w:lineRule="auto"/>
        <w:jc w:val="both"/>
      </w:pPr>
      <w:r>
        <w:rPr>
          <w:rFonts w:ascii="Arial" w:eastAsia="Arial" w:hAnsi="Arial" w:cs="Arial"/>
        </w:rPr>
        <w:lastRenderedPageBreak/>
        <w:t>The enrollment_days feature is computed as the number of calendar days elapsed since the Enrollment.enrolled_at timestamp. This temporal feature provides context for the other behavioural features — for example, a student with a high total_time_spent value who enrolled only recently is exhibiting more intensive engagement than a student with the same total_time_spent who enrolled several months ago.</w:t>
      </w:r>
    </w:p>
    <w:p w14:paraId="09AD35E5" w14:textId="77777777" w:rsidR="003271FC" w:rsidRPr="00C356F4" w:rsidRDefault="003271FC" w:rsidP="003271FC">
      <w:pPr>
        <w:pStyle w:val="Heading3"/>
        <w:rPr>
          <w:color w:val="000000" w:themeColor="text1"/>
        </w:rPr>
      </w:pPr>
      <w:r>
        <w:rPr>
          <w:rFonts w:ascii="Arial" w:eastAsia="Arial" w:hAnsi="Arial" w:cs="Arial"/>
          <w:b/>
          <w:bCs/>
          <w:color w:val="000000" w:themeColor="text1"/>
          <w:sz w:val="26"/>
          <w:szCs w:val="26"/>
        </w:rPr>
        <w:t>4.6.3 Historical Performance Features</w:t>
      </w:r>
    </w:p>
    <w:p w14:paraId="54F954A7" w14:textId="77777777" w:rsidR="003271FC" w:rsidRDefault="003271FC" w:rsidP="003271FC">
      <w:pPr>
        <w:spacing w:before="120" w:after="120" w:line="360" w:lineRule="auto"/>
        <w:jc w:val="both"/>
      </w:pPr>
      <w:r>
        <w:rPr>
          <w:rFonts w:ascii="Arial" w:eastAsia="Arial" w:hAnsi="Arial" w:cs="Arial"/>
        </w:rPr>
        <w:t>The previous_course_completion_rate feature is computed by examining all prior Enrollment records for the student — that is, all enrollments with an enrolled_at date earlier than the current enrollment. The feature is defined as the ratio of those prior enrollments that have a status of completed to the total number of prior enrollments. For students with no prior enrollments, the feature is assigned a default value of 0.5, reflecting a neutral prior expectation.</w:t>
      </w:r>
    </w:p>
    <w:p w14:paraId="7C3168ED" w14:textId="77777777" w:rsidR="003271FC" w:rsidRDefault="003271FC" w:rsidP="003271FC">
      <w:pPr>
        <w:spacing w:before="120" w:after="120" w:line="360" w:lineRule="auto"/>
        <w:jc w:val="both"/>
      </w:pPr>
      <w:r>
        <w:rPr>
          <w:rFonts w:ascii="Arial" w:eastAsia="Arial" w:hAnsi="Arial" w:cs="Arial"/>
        </w:rPr>
        <w:t>The average_quiz_score feature is computed by averaging the score field across all QuizSubmission records linked to the student. Unlike the previous_course_completion_rate, this feature aggregates across all courses rather than being restricted to the current enrollment, on the basis that quiz performance reflects a stable characteristic of the student's preparation and engagement style.</w:t>
      </w:r>
    </w:p>
    <w:p w14:paraId="0E933946" w14:textId="77777777" w:rsidR="00C356F4" w:rsidRDefault="00C356F4" w:rsidP="003271FC">
      <w:pPr>
        <w:pStyle w:val="Heading3"/>
        <w:rPr>
          <w:rFonts w:ascii="Arial" w:eastAsia="Arial" w:hAnsi="Arial" w:cs="Arial"/>
          <w:b/>
          <w:bCs/>
          <w:color w:val="000000" w:themeColor="text1"/>
          <w:sz w:val="26"/>
          <w:szCs w:val="26"/>
        </w:rPr>
      </w:pPr>
    </w:p>
    <w:p w14:paraId="4108D892" w14:textId="77777777" w:rsidR="003271FC" w:rsidRPr="00C356F4" w:rsidRDefault="003271FC" w:rsidP="003271FC">
      <w:pPr>
        <w:pStyle w:val="Heading3"/>
        <w:rPr>
          <w:color w:val="000000" w:themeColor="text1"/>
        </w:rPr>
      </w:pPr>
      <w:r>
        <w:rPr>
          <w:rFonts w:ascii="Arial" w:eastAsia="Arial" w:hAnsi="Arial" w:cs="Arial"/>
          <w:b/>
          <w:bCs/>
          <w:color w:val="000000" w:themeColor="text1"/>
          <w:sz w:val="26"/>
          <w:szCs w:val="26"/>
        </w:rPr>
        <w:t>4.6.4 Preprocessing and Normalisation</w:t>
      </w:r>
    </w:p>
    <w:p w14:paraId="0B691DFA" w14:textId="77777777" w:rsidR="003271FC" w:rsidRDefault="003271FC" w:rsidP="003271FC">
      <w:pPr>
        <w:spacing w:before="120" w:after="120" w:line="360" w:lineRule="auto"/>
        <w:jc w:val="both"/>
      </w:pPr>
      <w:r>
        <w:rPr>
          <w:rFonts w:ascii="Arial" w:eastAsia="Arial" w:hAnsi="Arial" w:cs="Arial"/>
        </w:rPr>
        <w:t>Before the feature vector is supplied to the model, all continuous features are scaled using a StandardScaler fitted on the training dataset. StandardScaler transforms each feature by subtracting the feature's training mean and dividing by the training standard deviation, producing a standardised distribution with zero mean and unit variance. The fitted scaler is serialised alongside the model in the joblib file so that inference-time scaling uses the same parameters as training-time scaling, preventing data leakage.</w:t>
      </w:r>
    </w:p>
    <w:p w14:paraId="5AAFB77E" w14:textId="77777777" w:rsidR="003271FC" w:rsidRDefault="003271FC" w:rsidP="003271FC">
      <w:pPr>
        <w:spacing w:before="200"/>
      </w:pPr>
    </w:p>
    <w:p w14:paraId="221F350B" w14:textId="77777777" w:rsidR="003271FC" w:rsidRPr="00C356F4" w:rsidRDefault="003271FC" w:rsidP="003271FC">
      <w:pPr>
        <w:pStyle w:val="Heading2"/>
        <w:rPr>
          <w:color w:val="000000" w:themeColor="text1"/>
        </w:rPr>
      </w:pPr>
      <w:r>
        <w:rPr>
          <w:rFonts w:ascii="Arial" w:eastAsia="Arial" w:hAnsi="Arial" w:cs="Arial"/>
          <w:color w:val="000000" w:themeColor="text1"/>
        </w:rPr>
        <w:t>4.7 API Response Examples</w:t>
      </w:r>
    </w:p>
    <w:p w14:paraId="2242996D" w14:textId="77777777" w:rsidR="003271FC" w:rsidRDefault="003271FC" w:rsidP="003271FC">
      <w:pPr>
        <w:spacing w:before="120" w:after="120" w:line="360" w:lineRule="auto"/>
        <w:jc w:val="both"/>
      </w:pPr>
      <w:r>
        <w:rPr>
          <w:rFonts w:ascii="Arial" w:eastAsia="Arial" w:hAnsi="Arial" w:cs="Arial"/>
        </w:rPr>
        <w:t xml:space="preserve">The LearnLogix backend exposes a RESTful API built on Django REST Framework, with a base URL of http://localhost:8000/api. The API endpoints are </w:t>
      </w:r>
      <w:r>
        <w:rPr>
          <w:rFonts w:ascii="Arial" w:eastAsia="Arial" w:hAnsi="Arial" w:cs="Arial"/>
        </w:rPr>
        <w:lastRenderedPageBreak/>
        <w:t>consumed exclusively by the React frontend via Axios HTTP requests. Three endpoints are particularly central to the analytics and machine learning features: the dashboard endpoint, the recommendations endpoint, and the enrollments endpoint.</w:t>
      </w:r>
    </w:p>
    <w:p w14:paraId="7004A770" w14:textId="77777777" w:rsidR="003271FC" w:rsidRDefault="003271FC" w:rsidP="003271FC">
      <w:pPr>
        <w:spacing w:before="120" w:after="120" w:line="360" w:lineRule="auto"/>
        <w:jc w:val="both"/>
      </w:pPr>
      <w:r>
        <w:rPr>
          <w:rFonts w:ascii="Arial" w:eastAsia="Arial" w:hAnsi="Arial" w:cs="Arial"/>
        </w:rPr>
        <w:t>The /api/dashboard/ endpoint returns a comprehensive JSON object containing all data required to render the Student Dashboard. For each enrollment record, the response includes the course name, the enrollment date, the computed progress_percentage, the predicted_success_rate generated by the ML model, and a list of recent lesson completion events. The response also includes the student's current streak length, total lessons completed, and total time spent in seconds.</w:t>
      </w:r>
    </w:p>
    <w:p w14:paraId="7D986068" w14:textId="77777777" w:rsidR="003271FC" w:rsidRDefault="003271FC" w:rsidP="003271FC">
      <w:pPr>
        <w:spacing w:before="120" w:after="120" w:line="360" w:lineRule="auto"/>
        <w:jc w:val="both"/>
      </w:pPr>
      <w:r>
        <w:rPr>
          <w:rFonts w:ascii="Arial" w:eastAsia="Arial" w:hAnsi="Arial" w:cs="Arial"/>
        </w:rPr>
        <w:t>The /api/recommendations/ endpoint returns an array of up to three course objects, each containing the course identifier, title, category, instructor name, thumbnail URL, enrollment count, and the relevance score computed by the recommendation engine. The relevance score is included in the response primarily for debugging and evaluation purposes and is not exposed directly in the student-facing UI.</w:t>
      </w:r>
    </w:p>
    <w:p w14:paraId="59B76533" w14:textId="77777777" w:rsidR="003271FC" w:rsidRDefault="003271FC" w:rsidP="003271FC">
      <w:pPr>
        <w:spacing w:before="120" w:after="120" w:line="360" w:lineRule="auto"/>
        <w:jc w:val="both"/>
      </w:pPr>
      <w:r>
        <w:rPr>
          <w:rFonts w:ascii="Arial" w:eastAsia="Arial" w:hAnsi="Arial" w:cs="Arial"/>
        </w:rPr>
        <w:t>The /api/enrollments/ endpoint returns the student's complete enrollment history, including both active and completed enrollments. Each record includes the progress_percentage, the LessonProgress events associated with the enrollment, and the predicted_success_rate. This endpoint is consumed by the progress panel of the dashboard and by the analytics charts.</w:t>
      </w:r>
    </w:p>
    <w:p w14:paraId="6BB23343" w14:textId="77777777" w:rsidR="003271FC" w:rsidRDefault="003271FC" w:rsidP="003271FC">
      <w:pPr>
        <w:spacing w:before="100"/>
      </w:pPr>
    </w:p>
    <w:p w14:paraId="43A9A2B9" w14:textId="77777777" w:rsidR="003271FC" w:rsidRDefault="003271FC" w:rsidP="003271FC">
      <w:r>
        <w:br w:type="page"/>
      </w:r>
    </w:p>
    <w:p w14:paraId="6185451C" w14:textId="3920F7CB" w:rsidR="00466A93" w:rsidRDefault="003271FC" w:rsidP="00466A93">
      <w:pPr>
        <w:pStyle w:val="Heading1"/>
        <w:spacing w:before="120"/>
        <w:jc w:val="center"/>
        <w:rPr>
          <w:rFonts w:ascii="Arial" w:eastAsia="Arial" w:hAnsi="Arial" w:cs="Arial"/>
          <w:color w:val="000000" w:themeColor="text1"/>
        </w:rPr>
      </w:pPr>
      <w:r>
        <w:rPr>
          <w:rFonts w:ascii="Arial" w:eastAsia="Arial" w:hAnsi="Arial" w:cs="Arial"/>
          <w:color w:val="000000" w:themeColor="text1"/>
        </w:rPr>
        <w:lastRenderedPageBreak/>
        <w:t xml:space="preserve">CHAPTER 5 </w:t>
      </w:r>
    </w:p>
    <w:p w14:paraId="5DD45F68" w14:textId="028C7586" w:rsidR="003271FC" w:rsidRPr="00C356F4" w:rsidRDefault="003271FC" w:rsidP="00466A93">
      <w:pPr>
        <w:pStyle w:val="Heading1"/>
        <w:spacing w:before="120"/>
        <w:jc w:val="center"/>
        <w:rPr>
          <w:color w:val="000000" w:themeColor="text1"/>
        </w:rPr>
      </w:pPr>
      <w:r>
        <w:rPr>
          <w:rFonts w:ascii="Arial" w:eastAsia="Arial" w:hAnsi="Arial" w:cs="Arial"/>
          <w:color w:val="000000" w:themeColor="text1"/>
        </w:rPr>
        <w:t>DISCUSSION</w:t>
      </w:r>
    </w:p>
    <w:p w14:paraId="375D0E92" w14:textId="77777777" w:rsidR="003271FC" w:rsidRDefault="003271FC" w:rsidP="003271FC">
      <w:pPr>
        <w:spacing w:before="200"/>
      </w:pPr>
    </w:p>
    <w:p w14:paraId="0804BF33" w14:textId="77777777" w:rsidR="003271FC" w:rsidRPr="00C356F4" w:rsidRDefault="003271FC" w:rsidP="003271FC">
      <w:pPr>
        <w:pStyle w:val="Heading2"/>
        <w:rPr>
          <w:color w:val="000000" w:themeColor="text1"/>
        </w:rPr>
      </w:pPr>
      <w:r>
        <w:rPr>
          <w:rFonts w:ascii="Arial" w:eastAsia="Arial" w:hAnsi="Arial" w:cs="Arial"/>
          <w:color w:val="000000" w:themeColor="text1"/>
        </w:rPr>
        <w:t>5.1 Interpretation of Results</w:t>
      </w:r>
    </w:p>
    <w:p w14:paraId="3927B7EF" w14:textId="77777777" w:rsidR="003271FC" w:rsidRDefault="003271FC" w:rsidP="003271FC">
      <w:pPr>
        <w:spacing w:before="120" w:after="120" w:line="360" w:lineRule="auto"/>
        <w:jc w:val="both"/>
      </w:pPr>
      <w:r>
        <w:rPr>
          <w:rFonts w:ascii="Arial" w:eastAsia="Arial" w:hAnsi="Arial" w:cs="Arial"/>
        </w:rPr>
        <w:t>The results presented in Chapter 4 collectively demonstrate that the LearnLogix platform is capable of generating actionable intelligence from student interaction data with a degree of accuracy that is practically meaningful for educational intervention. The success prediction model's test-set AUC-ROC of 0.86 and F1-score of 0.80 place it comfortably within the range of performance that the educational data mining literature characterises as effective for early warning system applications. This finding is significant because it suggests that the model is not merely memorising training patterns but has generalised to unseen student enrollment records in a way that preserves its discriminative power.</w:t>
      </w:r>
    </w:p>
    <w:p w14:paraId="43C80C56" w14:textId="77777777" w:rsidR="003271FC" w:rsidRDefault="003271FC" w:rsidP="003271FC">
      <w:pPr>
        <w:spacing w:before="120" w:after="120" w:line="360" w:lineRule="auto"/>
        <w:jc w:val="both"/>
      </w:pPr>
      <w:r>
        <w:rPr>
          <w:rFonts w:ascii="Arial" w:eastAsia="Arial" w:hAnsi="Arial" w:cs="Arial"/>
        </w:rPr>
        <w:t>The ability to identify at-risk students — those predicted to have a success_rate below a chosen threshold — prior to the point at which they disengage from the platform is the most practically consequential output of the ML system. In the traditional LMS paradigm, instructors typically become aware that a student is struggling only after the student has already stopped completing lessons or has submitted a failing quiz score. By the time this behavioural signal is visible, the student may have already made the decision to abandon the course. The LearnLogix success predictor shifts this timeline: by computing a predicted_success_rate at enrollment time and updating it continuously as new interaction data arrives, the system provides instructors with an early warning that is actionable while there is still time to intervene through targeted outreach, additional support resources, or adjusted content pacing.</w:t>
      </w:r>
    </w:p>
    <w:p w14:paraId="341DBEE7" w14:textId="20559A6D" w:rsidR="003271FC" w:rsidRPr="00466A93" w:rsidRDefault="003271FC" w:rsidP="003271FC">
      <w:pPr>
        <w:spacing w:before="120" w:after="120" w:line="360" w:lineRule="auto"/>
        <w:jc w:val="both"/>
        <w:rPr>
          <w:rFonts w:ascii="Arial" w:eastAsia="Arial" w:hAnsi="Arial" w:cs="Arial"/>
        </w:rPr>
      </w:pPr>
      <w:r>
        <w:rPr>
          <w:rFonts w:ascii="Arial" w:eastAsia="Arial" w:hAnsi="Arial" w:cs="Arial"/>
        </w:rPr>
        <w:t xml:space="preserve">The recommendation engine's precision@3 of 0.61 warrants careful interpretation. In the context of a content-based filtering system operating on a catalog of twenty-six courses, a precision@3 of 0.61 represents a strong result. It indicates that nearly two out of every three courses presented to a student as recommendations were courses that the student subsequently chose to enroll in. This is particularly notable because the recommendations are generated purely from the student's </w:t>
      </w:r>
      <w:r>
        <w:rPr>
          <w:rFonts w:ascii="Arial" w:eastAsia="Arial" w:hAnsi="Arial" w:cs="Arial"/>
        </w:rPr>
        <w:lastRenderedPageBreak/>
        <w:t xml:space="preserve">declared interests and profile data, without any collaborative signal derived from the behaviour of similar </w:t>
      </w:r>
      <w:proofErr w:type="gramStart"/>
      <w:r>
        <w:rPr>
          <w:rFonts w:ascii="Arial" w:eastAsia="Arial" w:hAnsi="Arial" w:cs="Arial"/>
        </w:rPr>
        <w:t>students  a</w:t>
      </w:r>
      <w:proofErr w:type="gramEnd"/>
      <w:r>
        <w:rPr>
          <w:rFonts w:ascii="Arial" w:eastAsia="Arial" w:hAnsi="Arial" w:cs="Arial"/>
        </w:rPr>
        <w:t xml:space="preserve"> limitation that is discussed further in Section 5.5.</w:t>
      </w:r>
      <w:r w:rsidR="00466A93">
        <w:rPr>
          <w:rFonts w:ascii="Arial" w:eastAsia="Arial" w:hAnsi="Arial" w:cs="Arial"/>
        </w:rPr>
        <w:t xml:space="preserve"> </w:t>
      </w:r>
      <w:r>
        <w:rPr>
          <w:rFonts w:ascii="Arial" w:eastAsia="Arial" w:hAnsi="Arial" w:cs="Arial"/>
        </w:rPr>
        <w:t xml:space="preserve">The learning velocity </w:t>
      </w:r>
      <w:proofErr w:type="spellStart"/>
      <w:r>
        <w:rPr>
          <w:rFonts w:ascii="Arial" w:eastAsia="Arial" w:hAnsi="Arial" w:cs="Arial"/>
        </w:rPr>
        <w:t>visualisation</w:t>
      </w:r>
      <w:proofErr w:type="spellEnd"/>
      <w:r>
        <w:rPr>
          <w:rFonts w:ascii="Arial" w:eastAsia="Arial" w:hAnsi="Arial" w:cs="Arial"/>
        </w:rPr>
        <w:t xml:space="preserve"> displayed on the student dashboard offers a form of metacognitive feedback that is rarely present in traditional LMS implementations. When a student observes that their lesson completion rate has declined over the trailing thirty days — visible as a downward trend in the AreaChart — they are equipped with concrete behavioural evidence to motivate self-corrective action. This is distinct from receiving a notification that a course deadline is approaching; the learning velocity metric situates the student's current behaviour within the context of their own personal trajectory, making the feedback both relevant and personally meaningful.</w:t>
      </w:r>
    </w:p>
    <w:p w14:paraId="743171D7" w14:textId="77777777" w:rsidR="003271FC" w:rsidRDefault="003271FC" w:rsidP="003271FC">
      <w:pPr>
        <w:spacing w:before="200"/>
      </w:pPr>
    </w:p>
    <w:p w14:paraId="27E941B7" w14:textId="77777777" w:rsidR="003271FC" w:rsidRPr="00C356F4" w:rsidRDefault="003271FC" w:rsidP="003271FC">
      <w:pPr>
        <w:pStyle w:val="Heading2"/>
        <w:rPr>
          <w:color w:val="000000" w:themeColor="text1"/>
        </w:rPr>
      </w:pPr>
      <w:r>
        <w:rPr>
          <w:rFonts w:ascii="Arial" w:eastAsia="Arial" w:hAnsi="Arial" w:cs="Arial"/>
          <w:color w:val="000000" w:themeColor="text1"/>
        </w:rPr>
        <w:t>5.2 Connection with the Literature</w:t>
      </w:r>
    </w:p>
    <w:p w14:paraId="3A8ABFA7" w14:textId="77777777" w:rsidR="003271FC" w:rsidRDefault="003271FC" w:rsidP="003271FC">
      <w:pPr>
        <w:spacing w:before="120" w:after="120" w:line="360" w:lineRule="auto"/>
        <w:jc w:val="both"/>
      </w:pPr>
      <w:r>
        <w:rPr>
          <w:rFonts w:ascii="Arial" w:eastAsia="Arial" w:hAnsi="Arial" w:cs="Arial"/>
        </w:rPr>
        <w:t>The results produced by the LearnLogix system connect meaningfully with an established body of research on personalised learning, machine learning in education, and the psychology of habit formation in digital learning environments.</w:t>
      </w:r>
    </w:p>
    <w:p w14:paraId="77E75004" w14:textId="77777777" w:rsidR="003271FC" w:rsidRDefault="003271FC" w:rsidP="003271FC">
      <w:pPr>
        <w:spacing w:before="120" w:after="120" w:line="360" w:lineRule="auto"/>
        <w:jc w:val="both"/>
      </w:pPr>
      <w:r>
        <w:rPr>
          <w:rFonts w:ascii="Arial" w:eastAsia="Arial" w:hAnsi="Arial" w:cs="Arial"/>
        </w:rPr>
        <w:t>The success prediction model's reliance on prior completion rate as the most powerful predictor is consistent with the findings of Kotsiantis et al. (2010), who demonstrated through an analysis of distance learning datasets that historical performance metrics — specifically, prior module pass rates — were more predictive of future academic success than demographic variables or entry qualifications. The LearnLogix results extend this finding to the asynchronous online learning context and confirm its applicability to self-paced course completion rather than academic year outcomes.</w:t>
      </w:r>
    </w:p>
    <w:p w14:paraId="7FF5AE4C" w14:textId="77777777" w:rsidR="003271FC" w:rsidRDefault="003271FC" w:rsidP="003271FC">
      <w:pPr>
        <w:spacing w:before="120" w:after="120" w:line="360" w:lineRule="auto"/>
        <w:jc w:val="both"/>
      </w:pPr>
      <w:r>
        <w:rPr>
          <w:rFonts w:ascii="Arial" w:eastAsia="Arial" w:hAnsi="Arial" w:cs="Arial"/>
        </w:rPr>
        <w:t>The role of time-on-task as a predictor of success is similarly well-supported in the literature. Kovanovic et al. (2015) established a statistically significant positive correlation between time spent in learning management system environments and academic performance outcomes, a finding that is reflected in the time_spent feature's 18.3% contribution to the LearnLogix model's feature importance. The current implementation operationalises time-on-task at the lesson level, which provides more granular insight than session-level duration metrics used in earlier studies.</w:t>
      </w:r>
    </w:p>
    <w:p w14:paraId="0F2C9BC3" w14:textId="77777777" w:rsidR="003271FC" w:rsidRDefault="003271FC" w:rsidP="003271FC">
      <w:pPr>
        <w:spacing w:before="120" w:after="120" w:line="360" w:lineRule="auto"/>
        <w:jc w:val="both"/>
      </w:pPr>
      <w:r>
        <w:rPr>
          <w:rFonts w:ascii="Arial" w:eastAsia="Arial" w:hAnsi="Arial" w:cs="Arial"/>
        </w:rPr>
        <w:lastRenderedPageBreak/>
        <w:t>The gamification literature provides a theoretical framework for understanding the streak system's relationship to course completion. Hamari et al. (2014) conducted a systematic review of twenty-four empirical studies on gamification in educational and motivational contexts and found that gamification elements consistently produced positive effects on engagement and motivation, though the magnitude of these effects varied across populations and contexts. The LearnLogix data — specifically, the 37.4 percentage point difference in completion rates between high-streak and low-streak students — is consistent with the upper range of effects reported in that review.</w:t>
      </w:r>
    </w:p>
    <w:p w14:paraId="66FEBD80" w14:textId="0F11FC47" w:rsidR="003271FC" w:rsidRDefault="003271FC" w:rsidP="00466A93">
      <w:pPr>
        <w:spacing w:before="120" w:after="120" w:line="360" w:lineRule="auto"/>
        <w:jc w:val="both"/>
      </w:pPr>
      <w:r>
        <w:rPr>
          <w:rFonts w:ascii="Arial" w:eastAsia="Arial" w:hAnsi="Arial" w:cs="Arial"/>
        </w:rPr>
        <w:t>The content-based recommendation approach employed by LearnLogix aligns with the taxonomy proposed by Burke (2002), who distinguished between collaborative filtering, content-based filtering, and hybrid approaches in recommender system design. Burke's analysis noted that content-based filtering is particularly well-suited to new system deployments where insufficient interaction history exists to support collaborative filtering — precisely the situation faced by LearnLogix in its current development stage. The recommendation precision achieved by the current implementation validates the continued viability of content-based approaches even as the platform grows toward the scale where collaborative filtering becomes feasible.</w:t>
      </w:r>
    </w:p>
    <w:p w14:paraId="55B8D47B" w14:textId="77777777" w:rsidR="003271FC" w:rsidRPr="00C356F4" w:rsidRDefault="003271FC" w:rsidP="003271FC">
      <w:pPr>
        <w:pStyle w:val="Heading2"/>
        <w:rPr>
          <w:color w:val="000000" w:themeColor="text1"/>
        </w:rPr>
      </w:pPr>
      <w:r>
        <w:rPr>
          <w:rFonts w:ascii="Arial" w:eastAsia="Arial" w:hAnsi="Arial" w:cs="Arial"/>
          <w:color w:val="000000" w:themeColor="text1"/>
        </w:rPr>
        <w:t>5.3 Feature Effectiveness Analysis</w:t>
      </w:r>
    </w:p>
    <w:p w14:paraId="2EBC4BA0" w14:textId="77777777" w:rsidR="003271FC" w:rsidRDefault="003271FC" w:rsidP="003271FC">
      <w:pPr>
        <w:spacing w:before="120" w:after="120" w:line="360" w:lineRule="auto"/>
        <w:jc w:val="both"/>
      </w:pPr>
      <w:r>
        <w:rPr>
          <w:rFonts w:ascii="Arial" w:eastAsia="Arial" w:hAnsi="Arial" w:cs="Arial"/>
        </w:rPr>
        <w:t>The feature importance analysis presented in Section 4.3.2 deserves closer interpretive attention, as the relative rankings of features carry implications both for the predictive model's validity and for the instructional design of the platform.</w:t>
      </w:r>
    </w:p>
    <w:p w14:paraId="08AE03E8" w14:textId="77777777" w:rsidR="003271FC" w:rsidRDefault="003271FC" w:rsidP="003271FC">
      <w:pPr>
        <w:spacing w:before="120" w:after="120" w:line="360" w:lineRule="auto"/>
        <w:jc w:val="both"/>
      </w:pPr>
      <w:r>
        <w:rPr>
          <w:rFonts w:ascii="Arial" w:eastAsia="Arial" w:hAnsi="Arial" w:cs="Arial"/>
        </w:rPr>
        <w:t>The dominance of previous_course_completion_rate as a predictor raises a structural concern that is worth acknowledging: this feature is, by definition, unavailable for a student's first enrollment. For first-time enrollees, the feature is assigned a neutral default value of 0.5, which necessarily reduces the model's predictive confidence for that subgroup. An analysis of prediction confidence scores segmented by enrollment order revealed that the model's mean predicted_success_rate standard deviation was 0.12 points higher for first-time enrollees than for students with two or more prior enrollments, confirming that uncertainty is appropriately wider when historical data is absent.</w:t>
      </w:r>
    </w:p>
    <w:p w14:paraId="16D89966" w14:textId="77777777" w:rsidR="003271FC" w:rsidRDefault="003271FC" w:rsidP="003271FC">
      <w:pPr>
        <w:spacing w:before="120" w:after="120" w:line="360" w:lineRule="auto"/>
        <w:jc w:val="both"/>
      </w:pPr>
      <w:r>
        <w:rPr>
          <w:rFonts w:ascii="Arial" w:eastAsia="Arial" w:hAnsi="Arial" w:cs="Arial"/>
        </w:rPr>
        <w:lastRenderedPageBreak/>
        <w:t>The finding that quiz performance (average_quiz_score) is the second most predictive feature suggests that the assessment system plays a dual role in the LearnLogix platform: beyond its primary pedagogical function of measuring student mastery of content, it also generates a signal that is highly informative about the student's engagement quality and learning effectiveness. Instructors designing courses for the platform would therefore benefit from ensuring that quizzes are sufficiently frequent and substantive to generate meaningful performance data, particularly early in the course, where quiz scores can contribute to early-stage success predictions.</w:t>
      </w:r>
    </w:p>
    <w:p w14:paraId="0E81A7CA" w14:textId="77777777" w:rsidR="003271FC" w:rsidRDefault="003271FC" w:rsidP="003271FC">
      <w:pPr>
        <w:spacing w:before="120" w:after="120" w:line="360" w:lineRule="auto"/>
        <w:jc w:val="both"/>
      </w:pPr>
      <w:r>
        <w:rPr>
          <w:rFonts w:ascii="Arial" w:eastAsia="Arial" w:hAnsi="Arial" w:cs="Arial"/>
        </w:rPr>
        <w:t>The relationship between learning_style and predicted success warrants careful interpretation. While the feature contributed 9.8% of the model's predictive power, this figure should not be interpreted as evidence that learning style is a robust determinant of academic success in the causal sense. The VARK model of learning styles — on which the LearnLogix classification is based — has attracted significant empirical scrutiny, with several meta-analyses finding limited evidence that matching instructional modality to a student's declared learning style produces superior outcomes compared to multi-modal instruction for all students. The feature's predictive value in the current model is more likely attributable to its correlation with other unmeasured student characteristics than to any direct causal pathway from learning style to course completion.</w:t>
      </w:r>
    </w:p>
    <w:p w14:paraId="1F0E99AC" w14:textId="77777777" w:rsidR="003271FC" w:rsidRDefault="003271FC" w:rsidP="003271FC">
      <w:pPr>
        <w:spacing w:before="120" w:after="120" w:line="360" w:lineRule="auto"/>
        <w:jc w:val="both"/>
      </w:pPr>
      <w:r>
        <w:rPr>
          <w:rFonts w:ascii="Arial" w:eastAsia="Arial" w:hAnsi="Arial" w:cs="Arial"/>
        </w:rPr>
        <w:t>The enrollment_days feature produced an interesting secondary finding when its interaction with lessons_completed_count was examined. Students with high enrollment_days but low lessons_completed_count — those who enrolled in a course but have made slow progress — showed a markedly lower predicted_success_rate than students with the same lessons_completed_count but a more recent enrollment date. This pattern suggests that the passage of time without proportional progress is itself a risk signal, independent of the raw completion count, and that the temporal dimension of learning behaviour is a meaningful input to the prediction.</w:t>
      </w:r>
    </w:p>
    <w:p w14:paraId="0E2A122F" w14:textId="77777777" w:rsidR="003271FC" w:rsidRDefault="003271FC" w:rsidP="003271FC">
      <w:pPr>
        <w:spacing w:before="200"/>
      </w:pPr>
    </w:p>
    <w:p w14:paraId="07E3540C" w14:textId="77777777" w:rsidR="00466A93" w:rsidRDefault="00466A93" w:rsidP="003271FC">
      <w:pPr>
        <w:pStyle w:val="Heading2"/>
        <w:rPr>
          <w:rFonts w:ascii="Arial" w:eastAsia="Arial" w:hAnsi="Arial" w:cs="Arial"/>
          <w:color w:val="000000" w:themeColor="text1"/>
        </w:rPr>
      </w:pPr>
    </w:p>
    <w:p w14:paraId="7F085F79" w14:textId="4007D781" w:rsidR="003271FC" w:rsidRPr="00C356F4" w:rsidRDefault="003271FC" w:rsidP="003271FC">
      <w:pPr>
        <w:pStyle w:val="Heading2"/>
        <w:rPr>
          <w:color w:val="000000" w:themeColor="text1"/>
        </w:rPr>
      </w:pPr>
      <w:r>
        <w:rPr>
          <w:rFonts w:ascii="Arial" w:eastAsia="Arial" w:hAnsi="Arial" w:cs="Arial"/>
          <w:color w:val="000000" w:themeColor="text1"/>
        </w:rPr>
        <w:lastRenderedPageBreak/>
        <w:t>5.4 User Experience and System Performance</w:t>
      </w:r>
    </w:p>
    <w:p w14:paraId="7F43B351" w14:textId="77777777" w:rsidR="003271FC" w:rsidRDefault="003271FC" w:rsidP="003271FC">
      <w:pPr>
        <w:spacing w:before="120" w:after="120" w:line="360" w:lineRule="auto"/>
        <w:jc w:val="both"/>
      </w:pPr>
      <w:r>
        <w:rPr>
          <w:rFonts w:ascii="Arial" w:eastAsia="Arial" w:hAnsi="Arial" w:cs="Arial"/>
        </w:rPr>
        <w:t>The student dashboard, as the primary interface through which students engage with the system's analytical outputs, warrants evaluation not only as a technical artefact but as a user experience design. The dashboard's design philosophy — presenting four headline metrics prominently, supported by more detailed visualisations beneath — reflects a progressive disclosure approach that is consistent with best practices in information dashboard design as articulated by Few (2006). The most immediately actionable information (current streak, total lessons completed) is accessible without scrolling, while the more complex analytics charts are positioned for students who choose to engage with a deeper view of their learning behaviour.</w:t>
      </w:r>
    </w:p>
    <w:p w14:paraId="63432F1F" w14:textId="77777777" w:rsidR="003271FC" w:rsidRDefault="003271FC" w:rsidP="003271FC">
      <w:pPr>
        <w:spacing w:before="120" w:after="120" w:line="360" w:lineRule="auto"/>
        <w:jc w:val="both"/>
      </w:pPr>
      <w:r>
        <w:rPr>
          <w:rFonts w:ascii="Arial" w:eastAsia="Arial" w:hAnsi="Arial" w:cs="Arial"/>
        </w:rPr>
        <w:t>The streak counter, despite its apparent simplicity, represents one of the most pedagogically interesting elements of the dashboard. The psychological mechanism it exploits — loss aversion, specifically the student's reluctance to break an established streak — is well-documented in the behavioural economics literature and has been applied with measurable success in consumer habit-formation applications such as language learning platforms. The LearnLogix data corroborate this effect: students who had established streaks of seven or more days showed a markedly lower rate of enrollment abandonment in the week following their streak peak compared to students who had no active streak.</w:t>
      </w:r>
    </w:p>
    <w:p w14:paraId="7DEFAD7A" w14:textId="77777777" w:rsidR="003271FC" w:rsidRDefault="003271FC" w:rsidP="003271FC">
      <w:pPr>
        <w:spacing w:before="120" w:after="120" w:line="360" w:lineRule="auto"/>
        <w:jc w:val="both"/>
      </w:pPr>
      <w:r>
        <w:rPr>
          <w:rFonts w:ascii="Arial" w:eastAsia="Arial" w:hAnsi="Arial" w:cs="Arial"/>
        </w:rPr>
        <w:t>The recommendation widget's positioning at the bottom of the dashboard reflects a deliberate design choice to present recommendations as an organic extension of the student's current engagement context rather than as an intrusive promotional element. Students who have just reviewed their progress data are, in principle, in a receptive mindset for considering their next learning investment. Early usability observations suggested that students who actively engaged with the analytics visualisations above were more likely to click on a recommended course than students who had navigated directly to the recommendations section without first reviewing their progress data.</w:t>
      </w:r>
    </w:p>
    <w:p w14:paraId="6EDF2DCF" w14:textId="77777777" w:rsidR="003271FC" w:rsidRDefault="003271FC" w:rsidP="003271FC">
      <w:pPr>
        <w:spacing w:before="120" w:after="120" w:line="360" w:lineRule="auto"/>
        <w:jc w:val="both"/>
      </w:pPr>
      <w:r>
        <w:rPr>
          <w:rFonts w:ascii="Arial" w:eastAsia="Arial" w:hAnsi="Arial" w:cs="Arial"/>
        </w:rPr>
        <w:t xml:space="preserve">From a system performance perspective, the dashboard API endpoint demonstrates acceptable response times under the current dataset scale. The /api/dashboard/ endpoint, which triggers the success prediction model inference for all active enrollments associated with the authenticated student, completed in </w:t>
      </w:r>
      <w:r>
        <w:rPr>
          <w:rFonts w:ascii="Arial" w:eastAsia="Arial" w:hAnsi="Arial" w:cs="Arial"/>
        </w:rPr>
        <w:lastRenderedPageBreak/>
        <w:t>a mean of 284 milliseconds during load testing with the current dataset. This response time falls within the threshold of 300 milliseconds that user experience research commonly cites as the upper limit for interactions to feel instantaneous. However, this performance characteristic is heavily influenced by the serialised model's inference time and the underlying SQLite database's query latency, both of which will require attention as the platform scales.</w:t>
      </w:r>
    </w:p>
    <w:p w14:paraId="02ED4E39" w14:textId="77777777" w:rsidR="003271FC" w:rsidRDefault="003271FC" w:rsidP="003271FC">
      <w:pPr>
        <w:spacing w:before="200"/>
      </w:pPr>
    </w:p>
    <w:p w14:paraId="64DE8319" w14:textId="77777777" w:rsidR="003271FC" w:rsidRPr="00C356F4" w:rsidRDefault="003271FC" w:rsidP="003271FC">
      <w:pPr>
        <w:pStyle w:val="Heading2"/>
        <w:rPr>
          <w:color w:val="000000" w:themeColor="text1"/>
        </w:rPr>
      </w:pPr>
      <w:r>
        <w:rPr>
          <w:rFonts w:ascii="Arial" w:eastAsia="Arial" w:hAnsi="Arial" w:cs="Arial"/>
          <w:color w:val="000000" w:themeColor="text1"/>
        </w:rPr>
        <w:t>5.5 Limitations and Challenges</w:t>
      </w:r>
    </w:p>
    <w:p w14:paraId="47583E3C" w14:textId="77777777" w:rsidR="003271FC" w:rsidRDefault="003271FC" w:rsidP="003271FC">
      <w:pPr>
        <w:spacing w:before="120" w:after="120" w:line="360" w:lineRule="auto"/>
        <w:jc w:val="both"/>
      </w:pPr>
      <w:r>
        <w:rPr>
          <w:rFonts w:ascii="Arial" w:eastAsia="Arial" w:hAnsi="Arial" w:cs="Arial"/>
        </w:rPr>
        <w:t>A balanced assessment of the LearnLogix platform requires an honest accounting of the limitations and challenges that affect the current implementation. These limitations exist at multiple levels: the data level, the model level, the feature level, and the infrastructure level.</w:t>
      </w:r>
    </w:p>
    <w:p w14:paraId="1F5860B6" w14:textId="77777777" w:rsidR="003271FC" w:rsidRDefault="003271FC" w:rsidP="003271FC">
      <w:pPr>
        <w:spacing w:before="120" w:after="120" w:line="360" w:lineRule="auto"/>
        <w:jc w:val="both"/>
      </w:pPr>
      <w:r>
        <w:rPr>
          <w:rFonts w:ascii="Arial" w:eastAsia="Arial" w:hAnsi="Arial" w:cs="Arial"/>
        </w:rPr>
        <w:t>At the data level, the most significant limitation is the size and representativeness of the dataset used for model training and evaluation. The combination of real user interactions and synthetic data produced a total of one hundred and eighty-nine enrollment records, which is adequate for demonstrating proof-of-concept performance but insufficient for training a model that can be confidently deployed at institutional scale. Educational data mining studies that report robust model performance typically draw on thousands of enrollment records, often sourced from multiple cohorts and academic years. The current model's performance metrics should therefore be understood as promising indicators rather than as definitive estimates of production-environment accuracy.</w:t>
      </w:r>
    </w:p>
    <w:p w14:paraId="1C82E296" w14:textId="77777777" w:rsidR="003271FC" w:rsidRDefault="003271FC" w:rsidP="003271FC">
      <w:pPr>
        <w:spacing w:before="120" w:after="120" w:line="360" w:lineRule="auto"/>
        <w:jc w:val="both"/>
      </w:pPr>
      <w:r>
        <w:rPr>
          <w:rFonts w:ascii="Arial" w:eastAsia="Arial" w:hAnsi="Arial" w:cs="Arial"/>
        </w:rPr>
        <w:t>The cold-start problem — the challenge of generating meaningful predictions and recommendations for students with no prior platform history — is a structural limitation that affects both the success prediction model and the recommendation engine. For the predictor, the cold-start limitation reduces confidence in first-enrollment predictions, as the previous_course_completion_rate feature defaults to a neutral prior rather than a student-specific value. For the recommender, it forces a fallback to popularity-based ranking, which provides no personalisation and may present students with courses that are popular among the general user population but misaligned with their specific learning goals.</w:t>
      </w:r>
    </w:p>
    <w:p w14:paraId="643B5E5F" w14:textId="77777777" w:rsidR="003271FC" w:rsidRDefault="003271FC" w:rsidP="003271FC">
      <w:pPr>
        <w:spacing w:before="120" w:after="120" w:line="360" w:lineRule="auto"/>
        <w:jc w:val="both"/>
      </w:pPr>
      <w:r>
        <w:rPr>
          <w:rFonts w:ascii="Arial" w:eastAsia="Arial" w:hAnsi="Arial" w:cs="Arial"/>
        </w:rPr>
        <w:lastRenderedPageBreak/>
        <w:t>The recommendation engine's current architecture — a pure content-based filtering approach — imposes a ceiling on recommendation quality that cannot be overcome without incorporating collaborative signals. Content-based filtering can identify courses that are categorically similar to a student's declared interests, but it cannot identify courses that students with similar profiles found unexpectedly valuable, nor can it surface courses that a student might not have thought to express interest in but would genuinely benefit from. The addition of collaborative filtering components would require a substantially larger user base to generate the co-enrollment patterns that such methods exploit.</w:t>
      </w:r>
    </w:p>
    <w:p w14:paraId="54A04019" w14:textId="77777777" w:rsidR="003271FC" w:rsidRDefault="003271FC" w:rsidP="003271FC">
      <w:pPr>
        <w:spacing w:before="120" w:after="120" w:line="360" w:lineRule="auto"/>
        <w:jc w:val="both"/>
      </w:pPr>
      <w:r>
        <w:rPr>
          <w:rFonts w:ascii="Arial" w:eastAsia="Arial" w:hAnsi="Arial" w:cs="Arial"/>
        </w:rPr>
        <w:t>The time_spent metric, while valuable as a behavioural signal, carries an inherent measurement validity concern. The current implementation computes time_spent as the difference between the timestamps at which a lesson is opened and the timestamp at which a lesson completion event is recorded. This approach cannot distinguish between a student who spent the entire duration actively reading and processing lesson content and a student who opened the lesson page, switched to another browser tab for an extended period, and returned to click the completion button. Passive time and active time are therefore conflated in the current metric, which introduces noise into one of the model's most important features.</w:t>
      </w:r>
    </w:p>
    <w:p w14:paraId="22C7D3E7" w14:textId="77777777" w:rsidR="003271FC" w:rsidRDefault="003271FC" w:rsidP="003271FC">
      <w:pPr>
        <w:spacing w:before="120" w:after="120" w:line="360" w:lineRule="auto"/>
        <w:jc w:val="both"/>
      </w:pPr>
      <w:r>
        <w:rPr>
          <w:rFonts w:ascii="Arial" w:eastAsia="Arial" w:hAnsi="Arial" w:cs="Arial"/>
        </w:rPr>
        <w:t>The SQLite database backend, which was selected for its simplicity and zero-configuration deployment requirements during the development phase, represents a scalability constraint that will become increasingly significant as the platform grows. SQLite's file-based locking mechanism limits concurrent write throughput, and its lack of native support for connection pooling means that dashboard API endpoints — which issue multiple concurrent database queries — may experience latency degradation under load. This limitation is acknowledged as a known technical debt item and is addressed in the recommendations presented in Chapter 6.</w:t>
      </w:r>
    </w:p>
    <w:p w14:paraId="67191012" w14:textId="77777777" w:rsidR="003271FC" w:rsidRDefault="003271FC" w:rsidP="003271FC">
      <w:pPr>
        <w:spacing w:before="200"/>
      </w:pPr>
    </w:p>
    <w:p w14:paraId="478A637F" w14:textId="77777777" w:rsidR="003271FC" w:rsidRPr="00C356F4" w:rsidRDefault="003271FC" w:rsidP="003271FC">
      <w:pPr>
        <w:pStyle w:val="Heading2"/>
        <w:rPr>
          <w:color w:val="000000" w:themeColor="text1"/>
        </w:rPr>
      </w:pPr>
      <w:r>
        <w:rPr>
          <w:rFonts w:ascii="Arial" w:eastAsia="Arial" w:hAnsi="Arial" w:cs="Arial"/>
          <w:color w:val="000000" w:themeColor="text1"/>
        </w:rPr>
        <w:t>5.6 Implications for Educational Practice</w:t>
      </w:r>
    </w:p>
    <w:p w14:paraId="2317DAA0" w14:textId="77777777" w:rsidR="003271FC" w:rsidRDefault="003271FC" w:rsidP="003271FC">
      <w:pPr>
        <w:spacing w:before="120" w:after="120" w:line="360" w:lineRule="auto"/>
        <w:jc w:val="both"/>
      </w:pPr>
      <w:r>
        <w:rPr>
          <w:rFonts w:ascii="Arial" w:eastAsia="Arial" w:hAnsi="Arial" w:cs="Arial"/>
        </w:rPr>
        <w:t>Beyond the technical evaluation of system components, the LearnLogix platform has broader implications for how educational institutions, course designers, and instructors approach the integration of data science into the learning process.</w:t>
      </w:r>
    </w:p>
    <w:p w14:paraId="652AFDA5" w14:textId="77777777" w:rsidR="003271FC" w:rsidRDefault="003271FC" w:rsidP="003271FC">
      <w:pPr>
        <w:spacing w:before="120" w:after="120" w:line="360" w:lineRule="auto"/>
        <w:jc w:val="both"/>
      </w:pPr>
      <w:r>
        <w:rPr>
          <w:rFonts w:ascii="Arial" w:eastAsia="Arial" w:hAnsi="Arial" w:cs="Arial"/>
        </w:rPr>
        <w:lastRenderedPageBreak/>
        <w:t>For instructors, the predicted_success_rate metric represents a qualitative shift in the nature of student-instructor interaction. Rather than reacting to poor performance after the fact — when a student submits a failing quiz or requests an extension on a deadline — the instructor is equipped with a forward-looking signal that enables proactive outreach. An instructor who observes that a student's predicted_success_rate has declined from 0.78 to 0.51 over the course of two weeks can interpret this as a behavioural warning and initiate contact before the student has consciously made a decision to disengage. This shifts the instructor's role from evaluator to learning coach, a shift that is consistent with the constructivist pedagogy that contemporary educational research supports.</w:t>
      </w:r>
    </w:p>
    <w:p w14:paraId="3D5194C2" w14:textId="77777777" w:rsidR="003271FC" w:rsidRDefault="003271FC" w:rsidP="003271FC">
      <w:pPr>
        <w:spacing w:before="120" w:after="120" w:line="360" w:lineRule="auto"/>
        <w:jc w:val="both"/>
      </w:pPr>
      <w:r>
        <w:rPr>
          <w:rFonts w:ascii="Arial" w:eastAsia="Arial" w:hAnsi="Arial" w:cs="Arial"/>
        </w:rPr>
        <w:t>For students, the combination of the analytics dashboard and the gamification layer provides a form of structured self-reflection that is rarely available in traditional educational environments. The learning velocity chart makes visible a pattern of behaviour that the student lives through but rarely observes from the outside. Seeing one's own engagement rate plotted over time — and observing the plateau or decline that often precedes course abandonment — can serve as a catalyst for intentional habit formation in a way that grade reports and progress bars alone cannot.</w:t>
      </w:r>
    </w:p>
    <w:p w14:paraId="7F1FBC00" w14:textId="77777777" w:rsidR="003271FC" w:rsidRDefault="003271FC" w:rsidP="003271FC">
      <w:pPr>
        <w:spacing w:before="120" w:after="120" w:line="360" w:lineRule="auto"/>
        <w:jc w:val="both"/>
      </w:pPr>
      <w:r>
        <w:rPr>
          <w:rFonts w:ascii="Arial" w:eastAsia="Arial" w:hAnsi="Arial" w:cs="Arial"/>
        </w:rPr>
        <w:t>For educational technology researchers, the LearnLogix platform offers a case study in the practical challenges of integrating machine learning into a production educational system. The trade-offs encountered during development — between model complexity and inference latency, between feature informativeness and data collection intrusiveness, between personalisation and privacy — are generalisable challenges that any LMS seeking to incorporate adaptive intelligence will face. The architectural decisions documented in this thesis are intended to serve as a reference for future implementations in the field.</w:t>
      </w:r>
    </w:p>
    <w:p w14:paraId="7F7C45FB" w14:textId="77777777" w:rsidR="003271FC" w:rsidRDefault="003271FC" w:rsidP="003271FC">
      <w:r>
        <w:br w:type="page"/>
      </w:r>
    </w:p>
    <w:p w14:paraId="5D95A34C" w14:textId="77777777" w:rsidR="003271FC" w:rsidRPr="003271FC" w:rsidRDefault="003271FC" w:rsidP="003271FC">
      <w:pPr>
        <w:pStyle w:val="Heading1"/>
        <w:rPr>
          <w:color w:val="000000" w:themeColor="text1"/>
        </w:rPr>
      </w:pPr>
      <w:r>
        <w:rPr>
          <w:rFonts w:ascii="Arial" w:eastAsia="Arial" w:hAnsi="Arial" w:cs="Arial"/>
          <w:color w:val="000000" w:themeColor="text1"/>
        </w:rPr>
        <w:lastRenderedPageBreak/>
        <w:t>CHAPTER 6: CONCLUSION AND RECOMMENDATIONS</w:t>
      </w:r>
    </w:p>
    <w:p w14:paraId="50A670DA" w14:textId="77777777" w:rsidR="003271FC" w:rsidRDefault="003271FC" w:rsidP="003271FC">
      <w:pPr>
        <w:spacing w:before="200"/>
      </w:pPr>
    </w:p>
    <w:p w14:paraId="1C4437A9" w14:textId="77777777" w:rsidR="003271FC" w:rsidRPr="003271FC" w:rsidRDefault="003271FC" w:rsidP="003271FC">
      <w:pPr>
        <w:pStyle w:val="Heading2"/>
        <w:rPr>
          <w:color w:val="000000" w:themeColor="text1"/>
        </w:rPr>
      </w:pPr>
      <w:r>
        <w:rPr>
          <w:rFonts w:ascii="Arial" w:eastAsia="Arial" w:hAnsi="Arial" w:cs="Arial"/>
          <w:color w:val="000000" w:themeColor="text1"/>
        </w:rPr>
        <w:t>6.1 Summary of Study</w:t>
      </w:r>
    </w:p>
    <w:p w14:paraId="0018076B" w14:textId="77777777" w:rsidR="003271FC" w:rsidRDefault="003271FC" w:rsidP="003271FC">
      <w:pPr>
        <w:spacing w:before="120" w:after="120" w:line="360" w:lineRule="auto"/>
        <w:jc w:val="both"/>
      </w:pPr>
      <w:r>
        <w:rPr>
          <w:rFonts w:ascii="Arial" w:eastAsia="Arial" w:hAnsi="Arial" w:cs="Arial"/>
        </w:rPr>
        <w:t>This study set out to design, implement, and evaluate a machine learning-integrated Learning Management System — designated LearnLogix — that moves beyond the passive content delivery model characteristic of traditional LMS platforms and toward a genuinely adaptive, data-driven learning environment. The platform was constructed on a modern full-stack architecture comprising a React 19 frontend, a Django REST Framework backend, and a scikit-learn machine learning layer, with a SQLite database serving as the persistence layer for the development deployment.</w:t>
      </w:r>
    </w:p>
    <w:p w14:paraId="34E1501D" w14:textId="77777777" w:rsidR="003271FC" w:rsidRDefault="003271FC" w:rsidP="003271FC">
      <w:pPr>
        <w:spacing w:before="120" w:after="120" w:line="360" w:lineRule="auto"/>
        <w:jc w:val="both"/>
      </w:pPr>
      <w:r>
        <w:rPr>
          <w:rFonts w:ascii="Arial" w:eastAsia="Arial" w:hAnsi="Arial" w:cs="Arial"/>
        </w:rPr>
        <w:t>The central premise of the study was that the rich interaction data generated during the normal operation of an e-learning platform — lesson completion events, quiz submissions, time-on-task measurements, and daily engagement patterns — could be harnessed to provide two forms of intelligent assistance that are absent from conventional LMS implementations: a success prediction system capable of identifying at-risk students before their disengagement becomes irreversible, and a personalised recommendation engine capable of guiding students toward courses that are aligned with their interests, learning style, and prior performance.</w:t>
      </w:r>
    </w:p>
    <w:p w14:paraId="42CB43E0" w14:textId="77777777" w:rsidR="003271FC" w:rsidRDefault="003271FC" w:rsidP="003271FC">
      <w:pPr>
        <w:spacing w:before="120" w:after="120" w:line="360" w:lineRule="auto"/>
        <w:jc w:val="both"/>
      </w:pPr>
      <w:r>
        <w:rPr>
          <w:rFonts w:ascii="Arial" w:eastAsia="Arial" w:hAnsi="Arial" w:cs="Arial"/>
        </w:rPr>
        <w:t>The study proceeded through three principal phases. In the design phase, the system architecture was specified, the data model was defined, and the machine learning pipeline was scoped. In the implementation phase, all platform components — the frontend dashboard, the backend API, the ML models, and the gamification system — were developed and integrated. In the evaluation phase, the ML models were trained and assessed on a dataset of one hundred and eighty-nine enrollment records, the recommendation engine was evaluated using retrospective precision and recall metrics, and the analytical outputs of the dashboard were validated against the underlying database records.</w:t>
      </w:r>
    </w:p>
    <w:p w14:paraId="0AF7B99A" w14:textId="77777777" w:rsidR="003271FC" w:rsidRDefault="003271FC" w:rsidP="003271FC">
      <w:pPr>
        <w:spacing w:before="120" w:after="120" w:line="360" w:lineRule="auto"/>
        <w:jc w:val="both"/>
      </w:pPr>
      <w:r>
        <w:rPr>
          <w:rFonts w:ascii="Arial" w:eastAsia="Arial" w:hAnsi="Arial" w:cs="Arial"/>
        </w:rPr>
        <w:t xml:space="preserve">The key findings of the study can be summarised as follows. The success prediction model, implemented as a Random Forest classifier, achieved a test-set AUC-ROC of 0.86 and an F1-score of 0.80, demonstrating that course completion outcomes can be predicted from engineered features with a degree of accuracy </w:t>
      </w:r>
      <w:r>
        <w:rPr>
          <w:rFonts w:ascii="Arial" w:eastAsia="Arial" w:hAnsi="Arial" w:cs="Arial"/>
        </w:rPr>
        <w:lastRenderedPageBreak/>
        <w:t>that is practically useful for educational intervention. The recommendation engine, implemented as a content-based filtering system, achieved a precision@3 of 0.61, indicating that the majority of recommended courses were courses that students subsequently chose to enroll in. The gamification system — specifically, the daily learning streak mechanism — showed a strong behavioural correlation with course completion, with students who maintained streaks of seven or more days completing courses at a rate 37.4 percentage points higher than students with minimal streak activity.</w:t>
      </w:r>
    </w:p>
    <w:p w14:paraId="5C97F886" w14:textId="77777777" w:rsidR="003271FC" w:rsidRDefault="003271FC" w:rsidP="003271FC">
      <w:pPr>
        <w:spacing w:before="200"/>
      </w:pPr>
    </w:p>
    <w:p w14:paraId="4D2613A1" w14:textId="77777777" w:rsidR="003271FC" w:rsidRPr="003271FC" w:rsidRDefault="003271FC" w:rsidP="003271FC">
      <w:pPr>
        <w:pStyle w:val="Heading2"/>
        <w:rPr>
          <w:color w:val="000000" w:themeColor="text1"/>
        </w:rPr>
      </w:pPr>
      <w:r>
        <w:rPr>
          <w:rFonts w:ascii="Arial" w:eastAsia="Arial" w:hAnsi="Arial" w:cs="Arial"/>
          <w:color w:val="000000" w:themeColor="text1"/>
        </w:rPr>
        <w:t>6.2 Achievement of Objectives</w:t>
      </w:r>
    </w:p>
    <w:p w14:paraId="48CBF75B" w14:textId="77777777" w:rsidR="003271FC" w:rsidRDefault="003271FC" w:rsidP="003271FC">
      <w:pPr>
        <w:spacing w:before="120" w:after="120" w:line="360" w:lineRule="auto"/>
        <w:jc w:val="both"/>
      </w:pPr>
      <w:r>
        <w:rPr>
          <w:rFonts w:ascii="Arial" w:eastAsia="Arial" w:hAnsi="Arial" w:cs="Arial"/>
        </w:rPr>
        <w:t>The study was framed around three primary objectives, each of which was addressed through specific design decisions and evaluated against concrete performance criteria. A review of each objective against the evidence gathered during the study confirms that all three objectives were substantially achieved.</w:t>
      </w:r>
    </w:p>
    <w:p w14:paraId="53DD3F2A"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6.2.1 Objective One: Design and Implement an ML-Integrated LMS</w:t>
      </w:r>
    </w:p>
    <w:p w14:paraId="69CD17AE" w14:textId="77777777" w:rsidR="003271FC" w:rsidRDefault="003271FC" w:rsidP="003271FC">
      <w:pPr>
        <w:spacing w:before="120" w:after="120" w:line="360" w:lineRule="auto"/>
        <w:jc w:val="both"/>
      </w:pPr>
      <w:r>
        <w:rPr>
          <w:rFonts w:ascii="Arial" w:eastAsia="Arial" w:hAnsi="Arial" w:cs="Arial"/>
        </w:rPr>
        <w:t>The first objective was to design and implement a Learning Management System that integrates machine learning components in a manner that directly enhances the student learning experience. This objective was achieved through the implementation of three ML-powered features: the Random Forest success prediction model, the content-based recommendation engine, and the real-time analytics dashboard. Each of these features is fully integrated into the production application — not implemented as a standalone prototype — and each contributes to the student-facing experience in a manner that is transparent and accessible without requiring the student to have any awareness of the underlying machine learning processes.</w:t>
      </w:r>
    </w:p>
    <w:p w14:paraId="7C125DDA" w14:textId="77777777" w:rsidR="003271FC" w:rsidRDefault="003271FC" w:rsidP="003271FC">
      <w:pPr>
        <w:spacing w:before="120" w:after="120" w:line="360" w:lineRule="auto"/>
        <w:jc w:val="both"/>
      </w:pPr>
      <w:r>
        <w:rPr>
          <w:rFonts w:ascii="Arial" w:eastAsia="Arial" w:hAnsi="Arial" w:cs="Arial"/>
        </w:rPr>
        <w:t xml:space="preserve">The success prediction model is invoked automatically at dashboard load time and appends a predicted_success_rate to each enrollment record without requiring any explicit student action. The recommendation engine is called by the recommendations widget and returns personalised course suggestions that update as the student's profile evolves. The analytics dashboard aggregates and visualises the complete history of the student's platform interactions in real time, </w:t>
      </w:r>
      <w:r>
        <w:rPr>
          <w:rFonts w:ascii="Arial" w:eastAsia="Arial" w:hAnsi="Arial" w:cs="Arial"/>
        </w:rPr>
        <w:lastRenderedPageBreak/>
        <w:t>with chart components that re-render on each page load to reflect the most current data.</w:t>
      </w:r>
    </w:p>
    <w:p w14:paraId="67A766C2"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6.2.2 Objective Two: Personalise the Learning Experience</w:t>
      </w:r>
    </w:p>
    <w:p w14:paraId="1C1E1657" w14:textId="77777777" w:rsidR="003271FC" w:rsidRDefault="003271FC" w:rsidP="003271FC">
      <w:pPr>
        <w:spacing w:before="120" w:after="120" w:line="360" w:lineRule="auto"/>
        <w:jc w:val="both"/>
      </w:pPr>
      <w:r>
        <w:rPr>
          <w:rFonts w:ascii="Arial" w:eastAsia="Arial" w:hAnsi="Arial" w:cs="Arial"/>
        </w:rPr>
        <w:t>The second objective was to personalise the learning experience for individual students through the application of student profiling and adaptive content presentation. This objective was addressed through three mechanisms: the learning style classification system embedded in the StudentProfile model, the interest-based profiling system that drives the recommendation engine, and the individual progress tracking system that feeds both the analytics dashboard and the success prediction model.</w:t>
      </w:r>
    </w:p>
    <w:p w14:paraId="494BD6BB" w14:textId="77777777" w:rsidR="003271FC" w:rsidRDefault="003271FC" w:rsidP="003271FC">
      <w:pPr>
        <w:spacing w:before="120" w:after="120" w:line="360" w:lineRule="auto"/>
        <w:jc w:val="both"/>
      </w:pPr>
      <w:r>
        <w:rPr>
          <w:rFonts w:ascii="Arial" w:eastAsia="Arial" w:hAnsi="Arial" w:cs="Arial"/>
        </w:rPr>
        <w:t>The learning style classification system provides a structured vocabulary for students to describe their preferred mode of information processing, and the platform records this declaration as a persistent attribute of the student's profile. The interest-based profiling system allows students to register categorical and keyword-level interests that are used directly in the recommendation scoring algorithm. The individual progress tracking system ensures that every student's dashboard presents a view of their own learning history that is unique to their enrollment pattern and engagement behaviour.</w:t>
      </w:r>
    </w:p>
    <w:p w14:paraId="7D799693"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6.2.3 Objective Three: Support Data-Driven Instruction</w:t>
      </w:r>
    </w:p>
    <w:p w14:paraId="3C929304" w14:textId="77777777" w:rsidR="003271FC" w:rsidRDefault="003271FC" w:rsidP="003271FC">
      <w:pPr>
        <w:spacing w:before="120" w:after="120" w:line="360" w:lineRule="auto"/>
        <w:jc w:val="both"/>
      </w:pPr>
      <w:r>
        <w:rPr>
          <w:rFonts w:ascii="Arial" w:eastAsia="Arial" w:hAnsi="Arial" w:cs="Arial"/>
        </w:rPr>
        <w:t>The third objective was to equip instructors and administrators with data-driven tools to support more effective instructional decision-making. This objective was partially achieved within the scope of the current study. The administrator panel provides a view of student enrollment data that includes the predicted_success_rate metric, enabling instructors to identify students who may benefit from additional support. The analytics infrastructure that underlies the student dashboard also generates data that is available at the administrative level, providing instructors with insights into lesson engagement patterns and quiz performance distributions.</w:t>
      </w:r>
    </w:p>
    <w:p w14:paraId="5E1EE5FB" w14:textId="77777777" w:rsidR="003271FC" w:rsidRDefault="003271FC" w:rsidP="003271FC">
      <w:pPr>
        <w:spacing w:before="200"/>
      </w:pPr>
    </w:p>
    <w:p w14:paraId="6269ACBE" w14:textId="77777777" w:rsidR="003271FC" w:rsidRPr="003271FC" w:rsidRDefault="003271FC" w:rsidP="003271FC">
      <w:pPr>
        <w:pStyle w:val="Heading2"/>
        <w:rPr>
          <w:color w:val="000000" w:themeColor="text1"/>
        </w:rPr>
      </w:pPr>
      <w:r>
        <w:rPr>
          <w:rFonts w:ascii="Arial" w:eastAsia="Arial" w:hAnsi="Arial" w:cs="Arial"/>
          <w:color w:val="000000" w:themeColor="text1"/>
        </w:rPr>
        <w:t>6.3 Key Findings Summary</w:t>
      </w:r>
    </w:p>
    <w:p w14:paraId="0B14D7B5" w14:textId="77777777" w:rsidR="003271FC" w:rsidRDefault="003271FC" w:rsidP="003271FC">
      <w:pPr>
        <w:spacing w:before="120" w:after="120" w:line="360" w:lineRule="auto"/>
        <w:jc w:val="both"/>
      </w:pPr>
      <w:r>
        <w:rPr>
          <w:rFonts w:ascii="Arial" w:eastAsia="Arial" w:hAnsi="Arial" w:cs="Arial"/>
        </w:rPr>
        <w:t>The findings of this study converge on a set of conclusions that have both technical and pedagogical significance.</w:t>
      </w:r>
    </w:p>
    <w:p w14:paraId="39A3F6B2" w14:textId="77777777" w:rsidR="003271FC" w:rsidRDefault="003271FC" w:rsidP="003271FC">
      <w:pPr>
        <w:spacing w:before="120" w:after="120" w:line="360" w:lineRule="auto"/>
        <w:jc w:val="both"/>
      </w:pPr>
      <w:r>
        <w:rPr>
          <w:rFonts w:ascii="Arial" w:eastAsia="Arial" w:hAnsi="Arial" w:cs="Arial"/>
        </w:rPr>
        <w:lastRenderedPageBreak/>
        <w:t>First, machine learning can be integrated into a Learning Management System at a level of complexity that is appropriate for a small development team without specialised machine learning engineering expertise. The scikit-learn library provides a sufficiently capable and well-documented toolkit for implementing the classification and recommendation algorithms that are most relevant to educational applications, and the joblib serialisation mechanism provides a practical path to deploying trained models within a web application without requiring a dedicated model serving infrastructure.</w:t>
      </w:r>
    </w:p>
    <w:p w14:paraId="623BF07D" w14:textId="77777777" w:rsidR="003271FC" w:rsidRDefault="003271FC" w:rsidP="003271FC">
      <w:pPr>
        <w:spacing w:before="120" w:after="120" w:line="360" w:lineRule="auto"/>
        <w:jc w:val="both"/>
      </w:pPr>
      <w:r>
        <w:rPr>
          <w:rFonts w:ascii="Arial" w:eastAsia="Arial" w:hAnsi="Arial" w:cs="Arial"/>
        </w:rPr>
        <w:t>Second, the features that are most predictive of course completion success are primarily behavioural rather than demographic. Prior completion rate, quiz performance, and time-on-task collectively account for over 68% of the model's feature importance. This finding has a direct implication for data collection priorities: platforms seeking to implement success prediction should focus on capturing high-quality behavioural interaction data rather than on gathering extensive demographic profiles, which raise privacy concerns and are less predictive in practice.</w:t>
      </w:r>
    </w:p>
    <w:p w14:paraId="3085E5D8" w14:textId="77777777" w:rsidR="003271FC" w:rsidRDefault="003271FC" w:rsidP="003271FC">
      <w:pPr>
        <w:spacing w:before="120" w:after="120" w:line="360" w:lineRule="auto"/>
        <w:jc w:val="both"/>
      </w:pPr>
      <w:r>
        <w:rPr>
          <w:rFonts w:ascii="Arial" w:eastAsia="Arial" w:hAnsi="Arial" w:cs="Arial"/>
        </w:rPr>
        <w:t>Third, gamification elements — specifically, the daily learning streak — show a behavioural correlation with course completion that is sufficiently large to be educationally significant. While the correlational nature of this finding precludes a causal claim, the pattern is consistent across the dataset and is supported by an established theoretical framework from the behavioural economics literature. This finding supports the investment of development effort in the platform's gamification layer.</w:t>
      </w:r>
    </w:p>
    <w:p w14:paraId="1BCF61AB" w14:textId="77777777" w:rsidR="003271FC" w:rsidRDefault="003271FC" w:rsidP="003271FC">
      <w:pPr>
        <w:spacing w:before="120" w:after="120" w:line="360" w:lineRule="auto"/>
        <w:jc w:val="both"/>
      </w:pPr>
      <w:r>
        <w:rPr>
          <w:rFonts w:ascii="Arial" w:eastAsia="Arial" w:hAnsi="Arial" w:cs="Arial"/>
        </w:rPr>
        <w:t>Fourth, personalised recommendations generated from student profile data, even in the absence of collaborative filtering signals, achieve a precision that meaningfully exceeds a random baseline and a popularity-based baseline. This finding validates the content-based filtering approach as an appropriate starting point for a new platform deployment and provides confidence that recommendation quality will improve further as the platform accumulates the interaction history necessary to support collaborative methods.</w:t>
      </w:r>
    </w:p>
    <w:p w14:paraId="7DE29A8F" w14:textId="77777777" w:rsidR="003271FC" w:rsidRDefault="003271FC" w:rsidP="003271FC">
      <w:pPr>
        <w:spacing w:before="100"/>
      </w:pPr>
    </w:p>
    <w:p w14:paraId="5D552180" w14:textId="77777777" w:rsidR="003271FC" w:rsidRDefault="003271FC" w:rsidP="003271FC">
      <w:pPr>
        <w:spacing w:before="200"/>
      </w:pPr>
    </w:p>
    <w:p w14:paraId="25F31873" w14:textId="77777777" w:rsidR="003271FC" w:rsidRPr="003271FC" w:rsidRDefault="003271FC" w:rsidP="003271FC">
      <w:pPr>
        <w:pStyle w:val="Heading2"/>
        <w:rPr>
          <w:color w:val="000000" w:themeColor="text1"/>
        </w:rPr>
      </w:pPr>
      <w:r>
        <w:rPr>
          <w:rFonts w:ascii="Arial" w:eastAsia="Arial" w:hAnsi="Arial" w:cs="Arial"/>
          <w:color w:val="000000" w:themeColor="text1"/>
        </w:rPr>
        <w:lastRenderedPageBreak/>
        <w:t>6.4 Recommendations for Future Development</w:t>
      </w:r>
    </w:p>
    <w:p w14:paraId="79FDAB4C" w14:textId="77777777" w:rsidR="003271FC" w:rsidRDefault="003271FC" w:rsidP="003271FC">
      <w:pPr>
        <w:spacing w:before="120" w:after="120" w:line="360" w:lineRule="auto"/>
        <w:jc w:val="both"/>
      </w:pPr>
      <w:r>
        <w:rPr>
          <w:rFonts w:ascii="Arial" w:eastAsia="Arial" w:hAnsi="Arial" w:cs="Arial"/>
        </w:rPr>
        <w:t>The findings of this study, together with the limitations identified in Chapter 5, point to a set of concrete recommendations for future development of the LearnLogix platform. These recommendations are organised by theme and are prioritised according to their anticipated impact on the core objectives of the platform and the feasibility of implementation within a realistic development timeline.</w:t>
      </w:r>
    </w:p>
    <w:p w14:paraId="13A1734E"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6.4.1 Infrastructure and Scalability</w:t>
      </w:r>
    </w:p>
    <w:p w14:paraId="33D13202" w14:textId="77777777" w:rsidR="003271FC" w:rsidRDefault="003271FC" w:rsidP="003271FC">
      <w:pPr>
        <w:spacing w:before="120" w:after="120" w:line="360" w:lineRule="auto"/>
        <w:jc w:val="both"/>
      </w:pPr>
      <w:r>
        <w:rPr>
          <w:rFonts w:ascii="Arial" w:eastAsia="Arial" w:hAnsi="Arial" w:cs="Arial"/>
        </w:rPr>
        <w:t>The most pressing technical recommendation is the migration from SQLite to a production-grade relational database management system. PostgreSQL is the recommended target, given its robust support for concurrent write operations, its native JSON field type — which is useful for storing variable-length feature vectors — its full-text search capabilities, and its strong compatibility with the Django ORM. The migration path from SQLite to PostgreSQL is well-documented in the Django ecosystem, and the schema can be transferred using Django's built-in dumpdata and loaddata management commands. Following the database migration, the introduction of a Redis caching layer is recommended to reduce the computational overhead of dashboard API responses. The success prediction model inference, which is triggered on every dashboard load, is a natural candidate for caching: predictions can be computed asynchronously and stored in Redis with a time-to-live of several hours, with cache invalidation triggered only when a new LessonProgress or QuizSubmission record is created for the relevant enrollment.</w:t>
      </w:r>
    </w:p>
    <w:p w14:paraId="47F4641D" w14:textId="77777777" w:rsidR="00466A93" w:rsidRDefault="00466A93" w:rsidP="003271FC">
      <w:pPr>
        <w:pStyle w:val="Heading3"/>
        <w:rPr>
          <w:rFonts w:ascii="Arial" w:eastAsia="Arial" w:hAnsi="Arial" w:cs="Arial"/>
          <w:b/>
          <w:bCs/>
          <w:color w:val="000000" w:themeColor="text1"/>
          <w:sz w:val="26"/>
          <w:szCs w:val="26"/>
        </w:rPr>
      </w:pPr>
    </w:p>
    <w:p w14:paraId="54A595CE" w14:textId="371BFE3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6.4.2 Advanced Machine Learning Models</w:t>
      </w:r>
    </w:p>
    <w:p w14:paraId="6F70D879" w14:textId="77777777" w:rsidR="003271FC" w:rsidRDefault="003271FC" w:rsidP="003271FC">
      <w:pPr>
        <w:spacing w:before="120" w:after="120" w:line="360" w:lineRule="auto"/>
        <w:jc w:val="both"/>
      </w:pPr>
      <w:r>
        <w:rPr>
          <w:rFonts w:ascii="Arial" w:eastAsia="Arial" w:hAnsi="Arial" w:cs="Arial"/>
        </w:rPr>
        <w:t>The current success prediction model, while effective within the constraints of the available training data, is built on a relatively simple feature set and a standard classification algorithm. Several enhancements to the ML layer are recommended for future development. The implementation of collaborative filtering — specifically, a matrix factorisation approach such as Singular Value Decomposition applied to the student-course enrollment matrix — would enable the recommendation engine to identify latent patterns of co-enrollment that cannot be captured by content-based matching alone. As the platform accumulates several hundred active students, the density of the enrollment matrix should become sufficient to support meaningful collaborative recommendations.</w:t>
      </w:r>
    </w:p>
    <w:p w14:paraId="572D9596" w14:textId="77777777" w:rsidR="003271FC" w:rsidRDefault="003271FC" w:rsidP="003271FC">
      <w:pPr>
        <w:spacing w:before="120" w:after="120" w:line="360" w:lineRule="auto"/>
        <w:jc w:val="both"/>
      </w:pPr>
      <w:r>
        <w:rPr>
          <w:rFonts w:ascii="Arial" w:eastAsia="Arial" w:hAnsi="Arial" w:cs="Arial"/>
        </w:rPr>
        <w:lastRenderedPageBreak/>
        <w:t>The application of Long Short-Term Memory (LSTM) neural networks to model the temporal dimension of student engagement is a particularly promising research direction. Unlike the current model, which treats the feature vector as a static snapshot, an LSTM-based approach would process the sequence of daily engagement events as a time series, potentially identifying characteristic patterns of disengagement — such as a gradual reduction in daily lesson completion counts followed by a gap in activity — with greater sensitivity than the current snapshot-based approach.</w:t>
      </w:r>
    </w:p>
    <w:p w14:paraId="0AD0909C" w14:textId="05B1881A" w:rsidR="003271FC" w:rsidRDefault="003271FC" w:rsidP="003271FC">
      <w:pPr>
        <w:spacing w:before="120" w:after="120" w:line="360" w:lineRule="auto"/>
        <w:jc w:val="both"/>
      </w:pPr>
      <w:r>
        <w:rPr>
          <w:rFonts w:ascii="Arial" w:eastAsia="Arial" w:hAnsi="Arial" w:cs="Arial"/>
        </w:rPr>
        <w:t xml:space="preserve">The integration of Natural Language Processing (NLP) techniques into the quiz content pipeline offers another avenue for model enhancement. By analysing the semantic content of quiz questions and comparing it to the content of the lessons that precede them, an NLP-based system could assess the alignment between lesson content and assessment, identify questions that are poorly worded or ambiguous, and even generate draft quiz questions automatically from lesson </w:t>
      </w:r>
      <w:proofErr w:type="gramStart"/>
      <w:r>
        <w:rPr>
          <w:rFonts w:ascii="Arial" w:eastAsia="Arial" w:hAnsi="Arial" w:cs="Arial"/>
        </w:rPr>
        <w:t>text  a</w:t>
      </w:r>
      <w:proofErr w:type="gramEnd"/>
      <w:r>
        <w:rPr>
          <w:rFonts w:ascii="Arial" w:eastAsia="Arial" w:hAnsi="Arial" w:cs="Arial"/>
        </w:rPr>
        <w:t xml:space="preserve"> capability that would significantly reduce the manual effort required of instructors.</w:t>
      </w:r>
    </w:p>
    <w:p w14:paraId="7E486079"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6.4.3 Enhanced Feature Engineering</w:t>
      </w:r>
    </w:p>
    <w:p w14:paraId="39A9FDD0" w14:textId="77777777" w:rsidR="003271FC" w:rsidRDefault="003271FC" w:rsidP="003271FC">
      <w:pPr>
        <w:spacing w:before="120" w:after="120" w:line="360" w:lineRule="auto"/>
        <w:jc w:val="both"/>
      </w:pPr>
      <w:r>
        <w:rPr>
          <w:rFonts w:ascii="Arial" w:eastAsia="Arial" w:hAnsi="Arial" w:cs="Arial"/>
        </w:rPr>
        <w:t>The current feature set of eight variables represents a starting point rather than a ceiling. Several additional features are recommended for inclusion in the next iteration of the feature engineering pipeline. Behavioural biometric signals — specifically, patterns in the time intervals between successive lesson page interactions — may offer an additional dimension of engagement measurement that is more resistant to the passive-time inflation problem identified in Section 5.5. Sequential pattern mining techniques, applied to the order in which students complete lessons across modules, could identify learning path patterns that are predictive of either success or difficulty, enabling the platform to suggest optimal traversal strategies for individual students.</w:t>
      </w:r>
    </w:p>
    <w:p w14:paraId="685F71BB" w14:textId="77777777" w:rsidR="00466A93" w:rsidRDefault="00466A93" w:rsidP="003271FC">
      <w:pPr>
        <w:pStyle w:val="Heading3"/>
        <w:rPr>
          <w:rFonts w:ascii="Arial" w:eastAsia="Arial" w:hAnsi="Arial" w:cs="Arial"/>
          <w:b/>
          <w:bCs/>
          <w:color w:val="000000" w:themeColor="text1"/>
          <w:sz w:val="26"/>
          <w:szCs w:val="26"/>
        </w:rPr>
      </w:pPr>
    </w:p>
    <w:p w14:paraId="4F7A15F9" w14:textId="06BEFF93"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6.4.4 Real-Time Analytics and Communication</w:t>
      </w:r>
    </w:p>
    <w:p w14:paraId="19A9BFC2" w14:textId="77777777" w:rsidR="003271FC" w:rsidRDefault="003271FC" w:rsidP="003271FC">
      <w:pPr>
        <w:spacing w:before="120" w:after="120" w:line="360" w:lineRule="auto"/>
        <w:jc w:val="both"/>
      </w:pPr>
      <w:r>
        <w:rPr>
          <w:rFonts w:ascii="Arial" w:eastAsia="Arial" w:hAnsi="Arial" w:cs="Arial"/>
        </w:rPr>
        <w:t xml:space="preserve">The current dashboard architecture follows a request-response model in which all analytics data is fetched at page load time. For a platform whose value proposition is centred on real-time learning intelligence, this architecture has a significant limitation: a student who completes a lesson during an active dashboard session will not see their progress update reflected in the charts until they manually refresh </w:t>
      </w:r>
      <w:r>
        <w:rPr>
          <w:rFonts w:ascii="Arial" w:eastAsia="Arial" w:hAnsi="Arial" w:cs="Arial"/>
        </w:rPr>
        <w:lastRenderedPageBreak/>
        <w:t>the page. The implementation of WebSocket-based real-time communication — using Django Channels, which extends Django's synchronous request handling to support asynchronous WebSocket connections — would enable the server to push progress updates to the client immediately upon lesson completion, creating a genuinely live analytics experience. An associated notification system that delivers achievement alerts — streak milestones, course completion confirmations, and risk warnings — via in-browser notifications would further reinforce the behavioural feedback loop that the gamification system is designed to exploit.</w:t>
      </w:r>
    </w:p>
    <w:p w14:paraId="202E4833"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6.4.5 Adaptive Learning Paths</w:t>
      </w:r>
    </w:p>
    <w:p w14:paraId="2A949463" w14:textId="77777777" w:rsidR="003271FC" w:rsidRDefault="003271FC" w:rsidP="003271FC">
      <w:pPr>
        <w:spacing w:before="120" w:after="120" w:line="360" w:lineRule="auto"/>
        <w:jc w:val="both"/>
      </w:pPr>
      <w:r>
        <w:rPr>
          <w:rFonts w:ascii="Arial" w:eastAsia="Arial" w:hAnsi="Arial" w:cs="Arial"/>
        </w:rPr>
        <w:t>The most ambitious recommendation for future development is the implementation of a fully adaptive learning path system. In the current LearnLogix implementation, all students enrolled in a given course follow the same fixed sequence of modules and lessons, regardless of their prior knowledge, their quiz performance, or their learning style. An adaptive learning path system would dynamically adjust the sequence and selection of content presented to each student based on their performance data, effectively personalising not just the recommendation of which course to take but the internal structure of the learning experience within a course.</w:t>
      </w:r>
    </w:p>
    <w:p w14:paraId="210D54DC" w14:textId="77777777" w:rsidR="003271FC" w:rsidRDefault="003271FC" w:rsidP="003271FC">
      <w:pPr>
        <w:spacing w:before="120" w:after="120" w:line="360" w:lineRule="auto"/>
        <w:jc w:val="both"/>
      </w:pPr>
      <w:r>
        <w:rPr>
          <w:rFonts w:ascii="Arial" w:eastAsia="Arial" w:hAnsi="Arial" w:cs="Arial"/>
        </w:rPr>
        <w:t>The technical implementation of adaptive learning paths would require an extension of the Lesson model to include prerequisite relationships — directed edges that specify which lessons must be completed before a given lesson becomes available — and a recommendation algorithm that, at each lesson completion event, evaluates the student's current knowledge state and selects the next lesson from the set of available prerequisites. Reinforcement learning provides a theoretically appropriate framework for this problem, as it naturally accommodates the sequential decision-making structure of the content selection process.</w:t>
      </w:r>
    </w:p>
    <w:p w14:paraId="47C6FC8F" w14:textId="77777777" w:rsidR="00466A93" w:rsidRDefault="00466A93" w:rsidP="003271FC">
      <w:pPr>
        <w:pStyle w:val="Heading3"/>
        <w:rPr>
          <w:rFonts w:ascii="Arial" w:eastAsia="Arial" w:hAnsi="Arial" w:cs="Arial"/>
          <w:b/>
          <w:bCs/>
          <w:color w:val="000000" w:themeColor="text1"/>
          <w:sz w:val="26"/>
          <w:szCs w:val="26"/>
        </w:rPr>
      </w:pPr>
    </w:p>
    <w:p w14:paraId="052C487C" w14:textId="309B1024"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6.4.6 Social Learning and Collaboration Features</w:t>
      </w:r>
    </w:p>
    <w:p w14:paraId="0EE5825C" w14:textId="37D3DEBB" w:rsidR="003271FC" w:rsidRDefault="003271FC" w:rsidP="003271FC">
      <w:pPr>
        <w:spacing w:before="120" w:after="120" w:line="360" w:lineRule="auto"/>
        <w:jc w:val="both"/>
      </w:pPr>
      <w:r>
        <w:rPr>
          <w:rFonts w:ascii="Arial" w:eastAsia="Arial" w:hAnsi="Arial" w:cs="Arial"/>
        </w:rPr>
        <w:t xml:space="preserve">The LearnLogix platform in its current form supports only individual learning; there is no mechanism for students to interact with one another, form study groups, or share knowledge. The introduction of social learning features — specifically, peer-based collaborative filtering for recommendations, discussion forums attached to individual lessons or courses, and an intelligent study group formation algorithm </w:t>
      </w:r>
      <w:r>
        <w:rPr>
          <w:rFonts w:ascii="Arial" w:eastAsia="Arial" w:hAnsi="Arial" w:cs="Arial"/>
        </w:rPr>
        <w:lastRenderedPageBreak/>
        <w:t xml:space="preserve">based on learning style and interest </w:t>
      </w:r>
      <w:proofErr w:type="gramStart"/>
      <w:r>
        <w:rPr>
          <w:rFonts w:ascii="Arial" w:eastAsia="Arial" w:hAnsi="Arial" w:cs="Arial"/>
        </w:rPr>
        <w:t>similarity  would</w:t>
      </w:r>
      <w:proofErr w:type="gramEnd"/>
      <w:r>
        <w:rPr>
          <w:rFonts w:ascii="Arial" w:eastAsia="Arial" w:hAnsi="Arial" w:cs="Arial"/>
        </w:rPr>
        <w:t xml:space="preserve"> address this gap. Research in computer-supported collaborative learning consistently demonstrates that social interaction enhances learning outcomes in online environments, and the platform's existing student profile data provides a natural foundation for matching students who would benefit from collaborative engagement.</w:t>
      </w:r>
    </w:p>
    <w:p w14:paraId="15C6B793"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6.4.7 Enhanced Gamification</w:t>
      </w:r>
    </w:p>
    <w:p w14:paraId="037D4611" w14:textId="77777777" w:rsidR="003271FC" w:rsidRDefault="003271FC" w:rsidP="003271FC">
      <w:pPr>
        <w:spacing w:before="120" w:after="120" w:line="360" w:lineRule="auto"/>
        <w:jc w:val="both"/>
      </w:pPr>
      <w:r>
        <w:rPr>
          <w:rFonts w:ascii="Arial" w:eastAsia="Arial" w:hAnsi="Arial" w:cs="Arial"/>
        </w:rPr>
        <w:t>The current streak mechanism, while effective at promoting daily engagement, represents only one dimension of the gamification design space. A richer gamification architecture — one that includes achievement badges for milestone events (first quiz completed, first course completed, ten-day streak, hundred lessons completed), cohort-based leaderboards that enable students to benchmark their progress against peers enrolled in the same course, and a reward system in which accumulated points can be exchanged for access to premium content or instructor feedback sessions — would provide a more sustained motivational scaffold for the full duration of a student's engagement with the platform.</w:t>
      </w:r>
    </w:p>
    <w:p w14:paraId="369369F7" w14:textId="77777777" w:rsidR="003271FC" w:rsidRPr="003271FC" w:rsidRDefault="003271FC" w:rsidP="003271FC">
      <w:pPr>
        <w:pStyle w:val="Heading3"/>
        <w:rPr>
          <w:color w:val="000000" w:themeColor="text1"/>
        </w:rPr>
      </w:pPr>
      <w:r>
        <w:rPr>
          <w:rFonts w:ascii="Arial" w:eastAsia="Arial" w:hAnsi="Arial" w:cs="Arial"/>
          <w:b/>
          <w:bCs/>
          <w:color w:val="000000" w:themeColor="text1"/>
          <w:sz w:val="26"/>
          <w:szCs w:val="26"/>
        </w:rPr>
        <w:t>6.4.8 Accessibility and Inclusive Design</w:t>
      </w:r>
    </w:p>
    <w:p w14:paraId="5054EFFD" w14:textId="77777777" w:rsidR="003271FC" w:rsidRDefault="003271FC" w:rsidP="003271FC">
      <w:pPr>
        <w:spacing w:before="120" w:after="120" w:line="360" w:lineRule="auto"/>
        <w:jc w:val="both"/>
      </w:pPr>
      <w:r>
        <w:rPr>
          <w:rFonts w:ascii="Arial" w:eastAsia="Arial" w:hAnsi="Arial" w:cs="Arial"/>
        </w:rPr>
        <w:t>The current LearnLogix frontend does not explicitly address Web Content Accessibility Guidelines (WCAG) 2.1 compliance. As the platform moves toward broader deployment, ensuring accessibility for students with visual, motor, or cognitive impairments is both an ethical imperative and, in many jurisdictions, a legal requirement for educational technology providers. The recommended improvements include the addition of aria-label attributes to all interactive UI elements, the implementation of keyboard navigation for the dashboard and course navigation components, the provision of text alternatives for all chart visualisations, and the support of high-contrast display themes. Multi-language support — beginning with the addition of an internationalisation framework such as react-i18next to the frontend — would further extend the platform's accessibility to non-English-speaking learners.</w:t>
      </w:r>
    </w:p>
    <w:p w14:paraId="65878CC8" w14:textId="77777777" w:rsidR="003271FC" w:rsidRDefault="003271FC" w:rsidP="003271FC">
      <w:pPr>
        <w:spacing w:before="200"/>
      </w:pPr>
    </w:p>
    <w:p w14:paraId="68605C83" w14:textId="77777777" w:rsidR="00466A93" w:rsidRDefault="00466A93" w:rsidP="003271FC">
      <w:pPr>
        <w:pStyle w:val="Heading2"/>
        <w:rPr>
          <w:rFonts w:ascii="Arial" w:eastAsia="Arial" w:hAnsi="Arial" w:cs="Arial"/>
          <w:color w:val="000000" w:themeColor="text1"/>
        </w:rPr>
      </w:pPr>
    </w:p>
    <w:p w14:paraId="1C30C6A0" w14:textId="56146B2C" w:rsidR="003271FC" w:rsidRPr="003271FC" w:rsidRDefault="003271FC" w:rsidP="003271FC">
      <w:pPr>
        <w:pStyle w:val="Heading2"/>
        <w:rPr>
          <w:color w:val="000000" w:themeColor="text1"/>
        </w:rPr>
      </w:pPr>
      <w:r>
        <w:rPr>
          <w:rFonts w:ascii="Arial" w:eastAsia="Arial" w:hAnsi="Arial" w:cs="Arial"/>
          <w:color w:val="000000" w:themeColor="text1"/>
        </w:rPr>
        <w:lastRenderedPageBreak/>
        <w:t>6.5 Implementation Priority Matrix</w:t>
      </w:r>
    </w:p>
    <w:p w14:paraId="1640A62B" w14:textId="77777777" w:rsidR="003271FC" w:rsidRDefault="003271FC" w:rsidP="003271FC">
      <w:pPr>
        <w:spacing w:before="120" w:after="120" w:line="360" w:lineRule="auto"/>
        <w:jc w:val="both"/>
      </w:pPr>
      <w:r>
        <w:rPr>
          <w:rFonts w:ascii="Arial" w:eastAsia="Arial" w:hAnsi="Arial" w:cs="Arial"/>
        </w:rPr>
        <w:t>The recommendations presented in Section 6.4 span a wide range of implementation complexity and expected impact. To provide practical guidance for development prioritisation, the following matrix organises the recommendations according to two dimensions: the expected impact on the platform's core objectives (high, medium, or low) and the estimated implementation effort relative to the current team capacity (high, medium, or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466A93" w14:paraId="266FF463" w14:textId="77777777" w:rsidTr="003271FC">
        <w:trPr>
          <w:tblHeader/>
        </w:trPr>
        <w:tc>
          <w:tcPr>
            <w:tcW w:w="3744" w:type="dxa"/>
            <w:tcMar>
              <w:top w:w="80" w:type="dxa"/>
              <w:left w:w="120" w:type="dxa"/>
              <w:bottom w:w="80" w:type="dxa"/>
              <w:right w:w="120" w:type="dxa"/>
            </w:tcMar>
          </w:tcPr>
          <w:p w14:paraId="49338262" w14:textId="77777777" w:rsidR="003271FC" w:rsidRPr="003271FC" w:rsidRDefault="003271FC" w:rsidP="00CF1664">
            <w:pPr>
              <w:rPr>
                <w:color w:val="000000" w:themeColor="text1"/>
              </w:rPr>
            </w:pPr>
            <w:r>
              <w:rPr>
                <w:rFonts w:ascii="Arial" w:eastAsia="Arial" w:hAnsi="Arial" w:cs="Arial"/>
                <w:b/>
                <w:bCs/>
                <w:color w:val="000000" w:themeColor="text1"/>
                <w:sz w:val="22"/>
                <w:szCs w:val="22"/>
              </w:rPr>
              <w:t>Recommendation</w:t>
            </w:r>
          </w:p>
        </w:tc>
        <w:tc>
          <w:tcPr>
            <w:tcW w:w="1872" w:type="dxa"/>
            <w:tcMar>
              <w:top w:w="80" w:type="dxa"/>
              <w:left w:w="120" w:type="dxa"/>
              <w:bottom w:w="80" w:type="dxa"/>
              <w:right w:w="120" w:type="dxa"/>
            </w:tcMar>
          </w:tcPr>
          <w:p w14:paraId="581DBD5F" w14:textId="77777777" w:rsidR="003271FC" w:rsidRPr="003271FC" w:rsidRDefault="003271FC" w:rsidP="00CF1664">
            <w:pPr>
              <w:rPr>
                <w:color w:val="000000" w:themeColor="text1"/>
              </w:rPr>
            </w:pPr>
            <w:r>
              <w:rPr>
                <w:rFonts w:ascii="Arial" w:eastAsia="Arial" w:hAnsi="Arial" w:cs="Arial"/>
                <w:b/>
                <w:bCs/>
                <w:color w:val="000000" w:themeColor="text1"/>
                <w:sz w:val="22"/>
                <w:szCs w:val="22"/>
              </w:rPr>
              <w:t>Expected Impact</w:t>
            </w:r>
          </w:p>
        </w:tc>
        <w:tc>
          <w:tcPr>
            <w:tcW w:w="1872" w:type="dxa"/>
            <w:tcMar>
              <w:top w:w="80" w:type="dxa"/>
              <w:left w:w="120" w:type="dxa"/>
              <w:bottom w:w="80" w:type="dxa"/>
              <w:right w:w="120" w:type="dxa"/>
            </w:tcMar>
          </w:tcPr>
          <w:p w14:paraId="07F6C234" w14:textId="77777777" w:rsidR="003271FC" w:rsidRPr="003271FC" w:rsidRDefault="003271FC" w:rsidP="00CF1664">
            <w:pPr>
              <w:rPr>
                <w:color w:val="000000" w:themeColor="text1"/>
              </w:rPr>
            </w:pPr>
            <w:r>
              <w:rPr>
                <w:rFonts w:ascii="Arial" w:eastAsia="Arial" w:hAnsi="Arial" w:cs="Arial"/>
                <w:b/>
                <w:bCs/>
                <w:color w:val="000000" w:themeColor="text1"/>
                <w:sz w:val="22"/>
                <w:szCs w:val="22"/>
              </w:rPr>
              <w:t>Implementation Effort</w:t>
            </w:r>
          </w:p>
        </w:tc>
        <w:tc>
          <w:tcPr>
            <w:tcW w:w="1872" w:type="dxa"/>
            <w:tcMar>
              <w:top w:w="80" w:type="dxa"/>
              <w:left w:w="120" w:type="dxa"/>
              <w:bottom w:w="80" w:type="dxa"/>
              <w:right w:w="120" w:type="dxa"/>
            </w:tcMar>
          </w:tcPr>
          <w:p w14:paraId="2084EC74" w14:textId="77777777" w:rsidR="003271FC" w:rsidRPr="003271FC" w:rsidRDefault="003271FC" w:rsidP="00CF1664">
            <w:pPr>
              <w:rPr>
                <w:color w:val="000000" w:themeColor="text1"/>
              </w:rPr>
            </w:pPr>
            <w:r>
              <w:rPr>
                <w:rFonts w:ascii="Arial" w:eastAsia="Arial" w:hAnsi="Arial" w:cs="Arial"/>
                <w:b/>
                <w:bCs/>
                <w:color w:val="000000" w:themeColor="text1"/>
                <w:sz w:val="22"/>
                <w:szCs w:val="22"/>
              </w:rPr>
              <w:t>Priority</w:t>
            </w:r>
          </w:p>
        </w:tc>
      </w:tr>
      <w:tr w:rsidR="00466A93" w14:paraId="618E50DD" w14:textId="77777777" w:rsidTr="00CF1664">
        <w:tc>
          <w:tcPr>
            <w:tcW w:w="3744" w:type="dxa"/>
            <w:shd w:val="clear" w:color="auto" w:fill="FFFFFF"/>
            <w:tcMar>
              <w:top w:w="80" w:type="dxa"/>
              <w:left w:w="120" w:type="dxa"/>
              <w:bottom w:w="80" w:type="dxa"/>
              <w:right w:w="120" w:type="dxa"/>
            </w:tcMar>
          </w:tcPr>
          <w:p w14:paraId="2FFF3010" w14:textId="77777777" w:rsidR="003271FC" w:rsidRDefault="003271FC" w:rsidP="00CF1664">
            <w:r>
              <w:rPr>
                <w:rFonts w:ascii="Arial" w:eastAsia="Arial" w:hAnsi="Arial" w:cs="Arial"/>
                <w:color w:val="000000"/>
                <w:sz w:val="22"/>
                <w:szCs w:val="22"/>
              </w:rPr>
              <w:t>PostgreSQL migration</w:t>
            </w:r>
          </w:p>
        </w:tc>
        <w:tc>
          <w:tcPr>
            <w:tcW w:w="1872" w:type="dxa"/>
            <w:shd w:val="clear" w:color="auto" w:fill="FFFFFF"/>
            <w:tcMar>
              <w:top w:w="80" w:type="dxa"/>
              <w:left w:w="120" w:type="dxa"/>
              <w:bottom w:w="80" w:type="dxa"/>
              <w:right w:w="120" w:type="dxa"/>
            </w:tcMar>
          </w:tcPr>
          <w:p w14:paraId="6BE3B532"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19AB21C6"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553B5DE7" w14:textId="77777777" w:rsidR="003271FC" w:rsidRDefault="003271FC" w:rsidP="00CF1664">
            <w:r>
              <w:rPr>
                <w:rFonts w:ascii="Arial" w:eastAsia="Arial" w:hAnsi="Arial" w:cs="Arial"/>
                <w:color w:val="000000"/>
                <w:sz w:val="22"/>
                <w:szCs w:val="22"/>
              </w:rPr>
              <w:t>Immediate</w:t>
            </w:r>
          </w:p>
        </w:tc>
      </w:tr>
      <w:tr w:rsidR="00466A93" w14:paraId="395A917E" w14:textId="77777777" w:rsidTr="00CF1664">
        <w:tc>
          <w:tcPr>
            <w:tcW w:w="3744" w:type="dxa"/>
            <w:shd w:val="clear" w:color="auto" w:fill="FFFFFF"/>
            <w:tcMar>
              <w:top w:w="80" w:type="dxa"/>
              <w:left w:w="120" w:type="dxa"/>
              <w:bottom w:w="80" w:type="dxa"/>
              <w:right w:w="120" w:type="dxa"/>
            </w:tcMar>
          </w:tcPr>
          <w:p w14:paraId="2BC12858" w14:textId="77777777" w:rsidR="003271FC" w:rsidRDefault="003271FC" w:rsidP="00CF1664">
            <w:r>
              <w:rPr>
                <w:rFonts w:ascii="Arial" w:eastAsia="Arial" w:hAnsi="Arial" w:cs="Arial"/>
                <w:color w:val="000000"/>
                <w:sz w:val="22"/>
                <w:szCs w:val="22"/>
              </w:rPr>
              <w:t>Redis caching layer</w:t>
            </w:r>
          </w:p>
        </w:tc>
        <w:tc>
          <w:tcPr>
            <w:tcW w:w="1872" w:type="dxa"/>
            <w:shd w:val="clear" w:color="auto" w:fill="FFFFFF"/>
            <w:tcMar>
              <w:top w:w="80" w:type="dxa"/>
              <w:left w:w="120" w:type="dxa"/>
              <w:bottom w:w="80" w:type="dxa"/>
              <w:right w:w="120" w:type="dxa"/>
            </w:tcMar>
          </w:tcPr>
          <w:p w14:paraId="2C358DB0"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1D896AFD" w14:textId="77777777" w:rsidR="003271FC" w:rsidRDefault="003271FC" w:rsidP="00CF1664">
            <w:r>
              <w:rPr>
                <w:rFonts w:ascii="Arial" w:eastAsia="Arial" w:hAnsi="Arial" w:cs="Arial"/>
                <w:color w:val="000000"/>
                <w:sz w:val="22"/>
                <w:szCs w:val="22"/>
              </w:rPr>
              <w:t>Low</w:t>
            </w:r>
          </w:p>
        </w:tc>
        <w:tc>
          <w:tcPr>
            <w:tcW w:w="1872" w:type="dxa"/>
            <w:shd w:val="clear" w:color="auto" w:fill="FFFFFF"/>
            <w:tcMar>
              <w:top w:w="80" w:type="dxa"/>
              <w:left w:w="120" w:type="dxa"/>
              <w:bottom w:w="80" w:type="dxa"/>
              <w:right w:w="120" w:type="dxa"/>
            </w:tcMar>
          </w:tcPr>
          <w:p w14:paraId="3BDA1B6A" w14:textId="77777777" w:rsidR="003271FC" w:rsidRDefault="003271FC" w:rsidP="00CF1664">
            <w:r>
              <w:rPr>
                <w:rFonts w:ascii="Arial" w:eastAsia="Arial" w:hAnsi="Arial" w:cs="Arial"/>
                <w:color w:val="000000"/>
                <w:sz w:val="22"/>
                <w:szCs w:val="22"/>
              </w:rPr>
              <w:t>Immediate</w:t>
            </w:r>
          </w:p>
        </w:tc>
      </w:tr>
      <w:tr w:rsidR="00466A93" w14:paraId="74C3C0B9" w14:textId="77777777" w:rsidTr="00CF1664">
        <w:tc>
          <w:tcPr>
            <w:tcW w:w="3744" w:type="dxa"/>
            <w:shd w:val="clear" w:color="auto" w:fill="FFFFFF"/>
            <w:tcMar>
              <w:top w:w="80" w:type="dxa"/>
              <w:left w:w="120" w:type="dxa"/>
              <w:bottom w:w="80" w:type="dxa"/>
              <w:right w:w="120" w:type="dxa"/>
            </w:tcMar>
          </w:tcPr>
          <w:p w14:paraId="628C5C66" w14:textId="77777777" w:rsidR="003271FC" w:rsidRDefault="003271FC" w:rsidP="00CF1664">
            <w:r>
              <w:rPr>
                <w:rFonts w:ascii="Arial" w:eastAsia="Arial" w:hAnsi="Arial" w:cs="Arial"/>
                <w:color w:val="000000"/>
                <w:sz w:val="22"/>
                <w:szCs w:val="22"/>
              </w:rPr>
              <w:t>Instructor early-warning dashboard</w:t>
            </w:r>
          </w:p>
        </w:tc>
        <w:tc>
          <w:tcPr>
            <w:tcW w:w="1872" w:type="dxa"/>
            <w:shd w:val="clear" w:color="auto" w:fill="FFFFFF"/>
            <w:tcMar>
              <w:top w:w="80" w:type="dxa"/>
              <w:left w:w="120" w:type="dxa"/>
              <w:bottom w:w="80" w:type="dxa"/>
              <w:right w:w="120" w:type="dxa"/>
            </w:tcMar>
          </w:tcPr>
          <w:p w14:paraId="3DC195CA"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469C2CF7" w14:textId="77777777" w:rsidR="003271FC" w:rsidRDefault="003271FC" w:rsidP="00CF1664">
            <w:r>
              <w:rPr>
                <w:rFonts w:ascii="Arial" w:eastAsia="Arial" w:hAnsi="Arial" w:cs="Arial"/>
                <w:color w:val="000000"/>
                <w:sz w:val="22"/>
                <w:szCs w:val="22"/>
              </w:rPr>
              <w:t>Low</w:t>
            </w:r>
          </w:p>
        </w:tc>
        <w:tc>
          <w:tcPr>
            <w:tcW w:w="1872" w:type="dxa"/>
            <w:shd w:val="clear" w:color="auto" w:fill="FFFFFF"/>
            <w:tcMar>
              <w:top w:w="80" w:type="dxa"/>
              <w:left w:w="120" w:type="dxa"/>
              <w:bottom w:w="80" w:type="dxa"/>
              <w:right w:w="120" w:type="dxa"/>
            </w:tcMar>
          </w:tcPr>
          <w:p w14:paraId="7075DD9D" w14:textId="77777777" w:rsidR="003271FC" w:rsidRDefault="003271FC" w:rsidP="00CF1664">
            <w:r>
              <w:rPr>
                <w:rFonts w:ascii="Arial" w:eastAsia="Arial" w:hAnsi="Arial" w:cs="Arial"/>
                <w:color w:val="000000"/>
                <w:sz w:val="22"/>
                <w:szCs w:val="22"/>
              </w:rPr>
              <w:t>Short-term</w:t>
            </w:r>
          </w:p>
        </w:tc>
      </w:tr>
      <w:tr w:rsidR="00466A93" w14:paraId="42A87FDD" w14:textId="77777777" w:rsidTr="00CF1664">
        <w:tc>
          <w:tcPr>
            <w:tcW w:w="3744" w:type="dxa"/>
            <w:shd w:val="clear" w:color="auto" w:fill="FFFFFF"/>
            <w:tcMar>
              <w:top w:w="80" w:type="dxa"/>
              <w:left w:w="120" w:type="dxa"/>
              <w:bottom w:w="80" w:type="dxa"/>
              <w:right w:w="120" w:type="dxa"/>
            </w:tcMar>
          </w:tcPr>
          <w:p w14:paraId="14C5809B" w14:textId="77777777" w:rsidR="003271FC" w:rsidRDefault="003271FC" w:rsidP="00CF1664">
            <w:r>
              <w:rPr>
                <w:rFonts w:ascii="Arial" w:eastAsia="Arial" w:hAnsi="Arial" w:cs="Arial"/>
                <w:color w:val="000000"/>
                <w:sz w:val="22"/>
                <w:szCs w:val="22"/>
              </w:rPr>
              <w:t>Real-time WebSocket updates</w:t>
            </w:r>
          </w:p>
        </w:tc>
        <w:tc>
          <w:tcPr>
            <w:tcW w:w="1872" w:type="dxa"/>
            <w:shd w:val="clear" w:color="auto" w:fill="FFFFFF"/>
            <w:tcMar>
              <w:top w:w="80" w:type="dxa"/>
              <w:left w:w="120" w:type="dxa"/>
              <w:bottom w:w="80" w:type="dxa"/>
              <w:right w:w="120" w:type="dxa"/>
            </w:tcMar>
          </w:tcPr>
          <w:p w14:paraId="77E37679"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6C44FAB0"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2D522029" w14:textId="77777777" w:rsidR="003271FC" w:rsidRDefault="003271FC" w:rsidP="00CF1664">
            <w:r>
              <w:rPr>
                <w:rFonts w:ascii="Arial" w:eastAsia="Arial" w:hAnsi="Arial" w:cs="Arial"/>
                <w:color w:val="000000"/>
                <w:sz w:val="22"/>
                <w:szCs w:val="22"/>
              </w:rPr>
              <w:t>Short-term</w:t>
            </w:r>
          </w:p>
        </w:tc>
      </w:tr>
      <w:tr w:rsidR="00466A93" w14:paraId="033D4B9A" w14:textId="77777777" w:rsidTr="00CF1664">
        <w:tc>
          <w:tcPr>
            <w:tcW w:w="3744" w:type="dxa"/>
            <w:shd w:val="clear" w:color="auto" w:fill="FFFFFF"/>
            <w:tcMar>
              <w:top w:w="80" w:type="dxa"/>
              <w:left w:w="120" w:type="dxa"/>
              <w:bottom w:w="80" w:type="dxa"/>
              <w:right w:w="120" w:type="dxa"/>
            </w:tcMar>
          </w:tcPr>
          <w:p w14:paraId="553E1940" w14:textId="77777777" w:rsidR="003271FC" w:rsidRDefault="003271FC" w:rsidP="00CF1664">
            <w:r>
              <w:rPr>
                <w:rFonts w:ascii="Arial" w:eastAsia="Arial" w:hAnsi="Arial" w:cs="Arial"/>
                <w:color w:val="000000"/>
                <w:sz w:val="22"/>
                <w:szCs w:val="22"/>
              </w:rPr>
              <w:t>Collaborative filtering recommendations</w:t>
            </w:r>
          </w:p>
        </w:tc>
        <w:tc>
          <w:tcPr>
            <w:tcW w:w="1872" w:type="dxa"/>
            <w:shd w:val="clear" w:color="auto" w:fill="FFFFFF"/>
            <w:tcMar>
              <w:top w:w="80" w:type="dxa"/>
              <w:left w:w="120" w:type="dxa"/>
              <w:bottom w:w="80" w:type="dxa"/>
              <w:right w:w="120" w:type="dxa"/>
            </w:tcMar>
          </w:tcPr>
          <w:p w14:paraId="4A5B8F88"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359E21BC"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0E80EE29" w14:textId="77777777" w:rsidR="003271FC" w:rsidRDefault="003271FC" w:rsidP="00CF1664">
            <w:r>
              <w:rPr>
                <w:rFonts w:ascii="Arial" w:eastAsia="Arial" w:hAnsi="Arial" w:cs="Arial"/>
                <w:color w:val="000000"/>
                <w:sz w:val="22"/>
                <w:szCs w:val="22"/>
              </w:rPr>
              <w:t>Medium-term</w:t>
            </w:r>
          </w:p>
        </w:tc>
      </w:tr>
      <w:tr w:rsidR="00466A93" w14:paraId="0DE697DA" w14:textId="77777777" w:rsidTr="00CF1664">
        <w:tc>
          <w:tcPr>
            <w:tcW w:w="3744" w:type="dxa"/>
            <w:shd w:val="clear" w:color="auto" w:fill="FFFFFF"/>
            <w:tcMar>
              <w:top w:w="80" w:type="dxa"/>
              <w:left w:w="120" w:type="dxa"/>
              <w:bottom w:w="80" w:type="dxa"/>
              <w:right w:w="120" w:type="dxa"/>
            </w:tcMar>
          </w:tcPr>
          <w:p w14:paraId="618A08F8" w14:textId="77777777" w:rsidR="003271FC" w:rsidRDefault="003271FC" w:rsidP="00CF1664">
            <w:r>
              <w:rPr>
                <w:rFonts w:ascii="Arial" w:eastAsia="Arial" w:hAnsi="Arial" w:cs="Arial"/>
                <w:color w:val="000000"/>
                <w:sz w:val="22"/>
                <w:szCs w:val="22"/>
              </w:rPr>
              <w:t>NLP quiz generation</w:t>
            </w:r>
          </w:p>
        </w:tc>
        <w:tc>
          <w:tcPr>
            <w:tcW w:w="1872" w:type="dxa"/>
            <w:shd w:val="clear" w:color="auto" w:fill="FFFFFF"/>
            <w:tcMar>
              <w:top w:w="80" w:type="dxa"/>
              <w:left w:w="120" w:type="dxa"/>
              <w:bottom w:w="80" w:type="dxa"/>
              <w:right w:w="120" w:type="dxa"/>
            </w:tcMar>
          </w:tcPr>
          <w:p w14:paraId="0786EA84"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5DDF7AF4"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617CDAE6" w14:textId="77777777" w:rsidR="003271FC" w:rsidRDefault="003271FC" w:rsidP="00CF1664">
            <w:r>
              <w:rPr>
                <w:rFonts w:ascii="Arial" w:eastAsia="Arial" w:hAnsi="Arial" w:cs="Arial"/>
                <w:color w:val="000000"/>
                <w:sz w:val="22"/>
                <w:szCs w:val="22"/>
              </w:rPr>
              <w:t>Medium-term</w:t>
            </w:r>
          </w:p>
        </w:tc>
      </w:tr>
      <w:tr w:rsidR="00466A93" w14:paraId="2CF51EF8" w14:textId="77777777" w:rsidTr="00CF1664">
        <w:tc>
          <w:tcPr>
            <w:tcW w:w="3744" w:type="dxa"/>
            <w:shd w:val="clear" w:color="auto" w:fill="FFFFFF"/>
            <w:tcMar>
              <w:top w:w="80" w:type="dxa"/>
              <w:left w:w="120" w:type="dxa"/>
              <w:bottom w:w="80" w:type="dxa"/>
              <w:right w:w="120" w:type="dxa"/>
            </w:tcMar>
          </w:tcPr>
          <w:p w14:paraId="625C480E" w14:textId="77777777" w:rsidR="003271FC" w:rsidRDefault="003271FC" w:rsidP="00CF1664">
            <w:r>
              <w:rPr>
                <w:rFonts w:ascii="Arial" w:eastAsia="Arial" w:hAnsi="Arial" w:cs="Arial"/>
                <w:color w:val="000000"/>
                <w:sz w:val="22"/>
                <w:szCs w:val="22"/>
              </w:rPr>
              <w:t>Adaptive learning paths</w:t>
            </w:r>
          </w:p>
        </w:tc>
        <w:tc>
          <w:tcPr>
            <w:tcW w:w="1872" w:type="dxa"/>
            <w:shd w:val="clear" w:color="auto" w:fill="FFFFFF"/>
            <w:tcMar>
              <w:top w:w="80" w:type="dxa"/>
              <w:left w:w="120" w:type="dxa"/>
              <w:bottom w:w="80" w:type="dxa"/>
              <w:right w:w="120" w:type="dxa"/>
            </w:tcMar>
          </w:tcPr>
          <w:p w14:paraId="09453454"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3EF53BEE"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6108E2E4" w14:textId="77777777" w:rsidR="003271FC" w:rsidRDefault="003271FC" w:rsidP="00CF1664">
            <w:r>
              <w:rPr>
                <w:rFonts w:ascii="Arial" w:eastAsia="Arial" w:hAnsi="Arial" w:cs="Arial"/>
                <w:color w:val="000000"/>
                <w:sz w:val="22"/>
                <w:szCs w:val="22"/>
              </w:rPr>
              <w:t>Long-term</w:t>
            </w:r>
          </w:p>
        </w:tc>
      </w:tr>
      <w:tr w:rsidR="00466A93" w14:paraId="63A1F8F0" w14:textId="77777777" w:rsidTr="00CF1664">
        <w:tc>
          <w:tcPr>
            <w:tcW w:w="3744" w:type="dxa"/>
            <w:shd w:val="clear" w:color="auto" w:fill="FFFFFF"/>
            <w:tcMar>
              <w:top w:w="80" w:type="dxa"/>
              <w:left w:w="120" w:type="dxa"/>
              <w:bottom w:w="80" w:type="dxa"/>
              <w:right w:w="120" w:type="dxa"/>
            </w:tcMar>
          </w:tcPr>
          <w:p w14:paraId="52B1D746" w14:textId="77777777" w:rsidR="003271FC" w:rsidRDefault="003271FC" w:rsidP="00CF1664">
            <w:r>
              <w:rPr>
                <w:rFonts w:ascii="Arial" w:eastAsia="Arial" w:hAnsi="Arial" w:cs="Arial"/>
                <w:color w:val="000000"/>
                <w:sz w:val="22"/>
                <w:szCs w:val="22"/>
              </w:rPr>
              <w:t>LSTM temporal modelling</w:t>
            </w:r>
          </w:p>
        </w:tc>
        <w:tc>
          <w:tcPr>
            <w:tcW w:w="1872" w:type="dxa"/>
            <w:shd w:val="clear" w:color="auto" w:fill="FFFFFF"/>
            <w:tcMar>
              <w:top w:w="80" w:type="dxa"/>
              <w:left w:w="120" w:type="dxa"/>
              <w:bottom w:w="80" w:type="dxa"/>
              <w:right w:w="120" w:type="dxa"/>
            </w:tcMar>
          </w:tcPr>
          <w:p w14:paraId="0B9C87B4"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0F0EADC1"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412C82C8" w14:textId="77777777" w:rsidR="003271FC" w:rsidRDefault="003271FC" w:rsidP="00CF1664">
            <w:r>
              <w:rPr>
                <w:rFonts w:ascii="Arial" w:eastAsia="Arial" w:hAnsi="Arial" w:cs="Arial"/>
                <w:color w:val="000000"/>
                <w:sz w:val="22"/>
                <w:szCs w:val="22"/>
              </w:rPr>
              <w:t>Long-term</w:t>
            </w:r>
          </w:p>
        </w:tc>
      </w:tr>
      <w:tr w:rsidR="00466A93" w14:paraId="089E9400" w14:textId="77777777" w:rsidTr="00CF1664">
        <w:tc>
          <w:tcPr>
            <w:tcW w:w="3744" w:type="dxa"/>
            <w:shd w:val="clear" w:color="auto" w:fill="FFFFFF"/>
            <w:tcMar>
              <w:top w:w="80" w:type="dxa"/>
              <w:left w:w="120" w:type="dxa"/>
              <w:bottom w:w="80" w:type="dxa"/>
              <w:right w:w="120" w:type="dxa"/>
            </w:tcMar>
          </w:tcPr>
          <w:p w14:paraId="57D7F790" w14:textId="77777777" w:rsidR="003271FC" w:rsidRDefault="003271FC" w:rsidP="00CF1664">
            <w:r>
              <w:rPr>
                <w:rFonts w:ascii="Arial" w:eastAsia="Arial" w:hAnsi="Arial" w:cs="Arial"/>
                <w:color w:val="000000"/>
                <w:sz w:val="22"/>
                <w:szCs w:val="22"/>
              </w:rPr>
              <w:t>Social learning features</w:t>
            </w:r>
          </w:p>
        </w:tc>
        <w:tc>
          <w:tcPr>
            <w:tcW w:w="1872" w:type="dxa"/>
            <w:shd w:val="clear" w:color="auto" w:fill="FFFFFF"/>
            <w:tcMar>
              <w:top w:w="80" w:type="dxa"/>
              <w:left w:w="120" w:type="dxa"/>
              <w:bottom w:w="80" w:type="dxa"/>
              <w:right w:w="120" w:type="dxa"/>
            </w:tcMar>
          </w:tcPr>
          <w:p w14:paraId="13412A21"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45F9ED29"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200C0813" w14:textId="77777777" w:rsidR="003271FC" w:rsidRDefault="003271FC" w:rsidP="00CF1664">
            <w:r>
              <w:rPr>
                <w:rFonts w:ascii="Arial" w:eastAsia="Arial" w:hAnsi="Arial" w:cs="Arial"/>
                <w:color w:val="000000"/>
                <w:sz w:val="22"/>
                <w:szCs w:val="22"/>
              </w:rPr>
              <w:t>Medium-term</w:t>
            </w:r>
          </w:p>
        </w:tc>
      </w:tr>
      <w:tr w:rsidR="00466A93" w14:paraId="49053953" w14:textId="77777777" w:rsidTr="00CF1664">
        <w:tc>
          <w:tcPr>
            <w:tcW w:w="3744" w:type="dxa"/>
            <w:shd w:val="clear" w:color="auto" w:fill="FFFFFF"/>
            <w:tcMar>
              <w:top w:w="80" w:type="dxa"/>
              <w:left w:w="120" w:type="dxa"/>
              <w:bottom w:w="80" w:type="dxa"/>
              <w:right w:w="120" w:type="dxa"/>
            </w:tcMar>
          </w:tcPr>
          <w:p w14:paraId="46A08856" w14:textId="77777777" w:rsidR="003271FC" w:rsidRDefault="003271FC" w:rsidP="00CF1664">
            <w:r>
              <w:rPr>
                <w:rFonts w:ascii="Arial" w:eastAsia="Arial" w:hAnsi="Arial" w:cs="Arial"/>
                <w:color w:val="000000"/>
                <w:sz w:val="22"/>
                <w:szCs w:val="22"/>
              </w:rPr>
              <w:t>Enhanced gamification</w:t>
            </w:r>
          </w:p>
        </w:tc>
        <w:tc>
          <w:tcPr>
            <w:tcW w:w="1872" w:type="dxa"/>
            <w:shd w:val="clear" w:color="auto" w:fill="FFFFFF"/>
            <w:tcMar>
              <w:top w:w="80" w:type="dxa"/>
              <w:left w:w="120" w:type="dxa"/>
              <w:bottom w:w="80" w:type="dxa"/>
              <w:right w:w="120" w:type="dxa"/>
            </w:tcMar>
          </w:tcPr>
          <w:p w14:paraId="179B17E6"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33F07F10"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2C475E9B" w14:textId="77777777" w:rsidR="003271FC" w:rsidRDefault="003271FC" w:rsidP="00CF1664">
            <w:r>
              <w:rPr>
                <w:rFonts w:ascii="Arial" w:eastAsia="Arial" w:hAnsi="Arial" w:cs="Arial"/>
                <w:color w:val="000000"/>
                <w:sz w:val="22"/>
                <w:szCs w:val="22"/>
              </w:rPr>
              <w:t>Short-term</w:t>
            </w:r>
          </w:p>
        </w:tc>
      </w:tr>
      <w:tr w:rsidR="00466A93" w14:paraId="5D55D236" w14:textId="77777777" w:rsidTr="00CF1664">
        <w:tc>
          <w:tcPr>
            <w:tcW w:w="3744" w:type="dxa"/>
            <w:shd w:val="clear" w:color="auto" w:fill="FFFFFF"/>
            <w:tcMar>
              <w:top w:w="80" w:type="dxa"/>
              <w:left w:w="120" w:type="dxa"/>
              <w:bottom w:w="80" w:type="dxa"/>
              <w:right w:w="120" w:type="dxa"/>
            </w:tcMar>
          </w:tcPr>
          <w:p w14:paraId="6874F6E6" w14:textId="77777777" w:rsidR="003271FC" w:rsidRDefault="003271FC" w:rsidP="00CF1664">
            <w:r>
              <w:rPr>
                <w:rFonts w:ascii="Arial" w:eastAsia="Arial" w:hAnsi="Arial" w:cs="Arial"/>
                <w:color w:val="000000"/>
                <w:sz w:val="22"/>
                <w:szCs w:val="22"/>
              </w:rPr>
              <w:t>WCAG 2.1 accessibility compliance</w:t>
            </w:r>
          </w:p>
        </w:tc>
        <w:tc>
          <w:tcPr>
            <w:tcW w:w="1872" w:type="dxa"/>
            <w:shd w:val="clear" w:color="auto" w:fill="FFFFFF"/>
            <w:tcMar>
              <w:top w:w="80" w:type="dxa"/>
              <w:left w:w="120" w:type="dxa"/>
              <w:bottom w:w="80" w:type="dxa"/>
              <w:right w:w="120" w:type="dxa"/>
            </w:tcMar>
          </w:tcPr>
          <w:p w14:paraId="6A30B5E9" w14:textId="77777777" w:rsidR="003271FC" w:rsidRDefault="003271FC" w:rsidP="00CF1664">
            <w:r>
              <w:rPr>
                <w:rFonts w:ascii="Arial" w:eastAsia="Arial" w:hAnsi="Arial" w:cs="Arial"/>
                <w:color w:val="000000"/>
                <w:sz w:val="22"/>
                <w:szCs w:val="22"/>
              </w:rPr>
              <w:t>High</w:t>
            </w:r>
          </w:p>
        </w:tc>
        <w:tc>
          <w:tcPr>
            <w:tcW w:w="1872" w:type="dxa"/>
            <w:shd w:val="clear" w:color="auto" w:fill="FFFFFF"/>
            <w:tcMar>
              <w:top w:w="80" w:type="dxa"/>
              <w:left w:w="120" w:type="dxa"/>
              <w:bottom w:w="80" w:type="dxa"/>
              <w:right w:w="120" w:type="dxa"/>
            </w:tcMar>
          </w:tcPr>
          <w:p w14:paraId="69BF9C1C"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76D4D0A9" w14:textId="77777777" w:rsidR="003271FC" w:rsidRDefault="003271FC" w:rsidP="00CF1664">
            <w:r>
              <w:rPr>
                <w:rFonts w:ascii="Arial" w:eastAsia="Arial" w:hAnsi="Arial" w:cs="Arial"/>
                <w:color w:val="000000"/>
                <w:sz w:val="22"/>
                <w:szCs w:val="22"/>
              </w:rPr>
              <w:t>Short-term</w:t>
            </w:r>
          </w:p>
        </w:tc>
      </w:tr>
      <w:tr w:rsidR="00466A93" w14:paraId="4DF63AB9" w14:textId="77777777" w:rsidTr="00CF1664">
        <w:tc>
          <w:tcPr>
            <w:tcW w:w="3744" w:type="dxa"/>
            <w:shd w:val="clear" w:color="auto" w:fill="FFFFFF"/>
            <w:tcMar>
              <w:top w:w="80" w:type="dxa"/>
              <w:left w:w="120" w:type="dxa"/>
              <w:bottom w:w="80" w:type="dxa"/>
              <w:right w:w="120" w:type="dxa"/>
            </w:tcMar>
          </w:tcPr>
          <w:p w14:paraId="406E5455" w14:textId="77777777" w:rsidR="003271FC" w:rsidRDefault="003271FC" w:rsidP="00CF1664">
            <w:r>
              <w:rPr>
                <w:rFonts w:ascii="Arial" w:eastAsia="Arial" w:hAnsi="Arial" w:cs="Arial"/>
                <w:color w:val="000000"/>
                <w:sz w:val="22"/>
                <w:szCs w:val="22"/>
              </w:rPr>
              <w:t>Multi-language support</w:t>
            </w:r>
          </w:p>
        </w:tc>
        <w:tc>
          <w:tcPr>
            <w:tcW w:w="1872" w:type="dxa"/>
            <w:shd w:val="clear" w:color="auto" w:fill="FFFFFF"/>
            <w:tcMar>
              <w:top w:w="80" w:type="dxa"/>
              <w:left w:w="120" w:type="dxa"/>
              <w:bottom w:w="80" w:type="dxa"/>
              <w:right w:w="120" w:type="dxa"/>
            </w:tcMar>
          </w:tcPr>
          <w:p w14:paraId="63A61E3D"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76E2F06F" w14:textId="77777777" w:rsidR="003271FC" w:rsidRDefault="003271FC" w:rsidP="00CF1664">
            <w:r>
              <w:rPr>
                <w:rFonts w:ascii="Arial" w:eastAsia="Arial" w:hAnsi="Arial" w:cs="Arial"/>
                <w:color w:val="000000"/>
                <w:sz w:val="22"/>
                <w:szCs w:val="22"/>
              </w:rPr>
              <w:t>Medium</w:t>
            </w:r>
          </w:p>
        </w:tc>
        <w:tc>
          <w:tcPr>
            <w:tcW w:w="1872" w:type="dxa"/>
            <w:shd w:val="clear" w:color="auto" w:fill="FFFFFF"/>
            <w:tcMar>
              <w:top w:w="80" w:type="dxa"/>
              <w:left w:w="120" w:type="dxa"/>
              <w:bottom w:w="80" w:type="dxa"/>
              <w:right w:w="120" w:type="dxa"/>
            </w:tcMar>
          </w:tcPr>
          <w:p w14:paraId="7B2ED033" w14:textId="77777777" w:rsidR="003271FC" w:rsidRDefault="003271FC" w:rsidP="00CF1664">
            <w:r>
              <w:rPr>
                <w:rFonts w:ascii="Arial" w:eastAsia="Arial" w:hAnsi="Arial" w:cs="Arial"/>
                <w:color w:val="000000"/>
                <w:sz w:val="22"/>
                <w:szCs w:val="22"/>
              </w:rPr>
              <w:t>Medium-term</w:t>
            </w:r>
          </w:p>
        </w:tc>
      </w:tr>
    </w:tbl>
    <w:p w14:paraId="7A37B155" w14:textId="77777777" w:rsidR="003271FC" w:rsidRDefault="003271FC" w:rsidP="003271FC">
      <w:pPr>
        <w:spacing w:before="80" w:after="200"/>
        <w:jc w:val="center"/>
      </w:pPr>
      <w:r>
        <w:rPr>
          <w:rFonts w:ascii="Arial" w:eastAsia="Arial" w:hAnsi="Arial" w:cs="Arial"/>
          <w:i/>
          <w:iCs/>
          <w:color w:val="555555"/>
          <w:sz w:val="22"/>
          <w:szCs w:val="22"/>
        </w:rPr>
        <w:t>Table 6.1: Implementation priority matrix for recommended LearnLogix platform enhancements, organised by expected impact and implementation effort.</w:t>
      </w:r>
    </w:p>
    <w:p w14:paraId="459AF9D2" w14:textId="77777777" w:rsidR="003271FC" w:rsidRDefault="003271FC" w:rsidP="003271FC">
      <w:pPr>
        <w:spacing w:before="200"/>
      </w:pPr>
    </w:p>
    <w:p w14:paraId="656ED583" w14:textId="77777777" w:rsidR="003271FC" w:rsidRPr="003271FC" w:rsidRDefault="003271FC" w:rsidP="003271FC">
      <w:pPr>
        <w:pStyle w:val="Heading2"/>
        <w:rPr>
          <w:color w:val="000000" w:themeColor="text1"/>
        </w:rPr>
      </w:pPr>
      <w:r>
        <w:rPr>
          <w:rFonts w:ascii="Arial" w:eastAsia="Arial" w:hAnsi="Arial" w:cs="Arial"/>
          <w:color w:val="000000" w:themeColor="text1"/>
        </w:rPr>
        <w:t>6.6 Research Contributions</w:t>
      </w:r>
    </w:p>
    <w:p w14:paraId="6801F5D4" w14:textId="77777777" w:rsidR="003271FC" w:rsidRDefault="003271FC" w:rsidP="003271FC">
      <w:pPr>
        <w:spacing w:before="120" w:after="120" w:line="360" w:lineRule="auto"/>
        <w:jc w:val="both"/>
      </w:pPr>
      <w:r>
        <w:rPr>
          <w:rFonts w:ascii="Arial" w:eastAsia="Arial" w:hAnsi="Arial" w:cs="Arial"/>
        </w:rPr>
        <w:t>This study makes contributions at three levels: theoretical, practical, and technical.</w:t>
      </w:r>
    </w:p>
    <w:p w14:paraId="2E40ADCB" w14:textId="77777777" w:rsidR="003271FC" w:rsidRDefault="003271FC" w:rsidP="003271FC">
      <w:pPr>
        <w:spacing w:before="120" w:after="120" w:line="360" w:lineRule="auto"/>
        <w:jc w:val="both"/>
      </w:pPr>
      <w:r>
        <w:rPr>
          <w:rFonts w:ascii="Arial" w:eastAsia="Arial" w:hAnsi="Arial" w:cs="Arial"/>
        </w:rPr>
        <w:t xml:space="preserve">At the theoretical level, the study provides empirical evidence — drawn from an end-to-end implemented system rather than a simulation or a reanalysis of an existing dataset — for the predictive validity of behavioural engagement features in the context of asynchronous self-paced online learning. The finding that prior completion rate, quiz performance, and time-on-task account for the majority of predictive power in a course completion model contributes to the growing body of </w:t>
      </w:r>
      <w:r>
        <w:rPr>
          <w:rFonts w:ascii="Arial" w:eastAsia="Arial" w:hAnsi="Arial" w:cs="Arial"/>
        </w:rPr>
        <w:lastRenderedPageBreak/>
        <w:t>literature that positions learner behaviour, rather than learner demographics, as the primary substrate for educational prediction.</w:t>
      </w:r>
    </w:p>
    <w:p w14:paraId="02580E2E" w14:textId="0475507D" w:rsidR="003271FC" w:rsidRDefault="003271FC" w:rsidP="003271FC">
      <w:pPr>
        <w:spacing w:before="120" w:after="120" w:line="360" w:lineRule="auto"/>
        <w:jc w:val="both"/>
      </w:pPr>
      <w:r>
        <w:rPr>
          <w:rFonts w:ascii="Arial" w:eastAsia="Arial" w:hAnsi="Arial" w:cs="Arial"/>
        </w:rPr>
        <w:t>At the practical level, the study provides an actionable architectural blueprint for educational technology teams seeking to integrate machine learning into an existing or new LMS deployment. The design decisions documented in this thesis the choice of content-based filtering over collaborative filtering for the initial recommendation system, the use of StandardScaler normalisation applied to the training distribution at inference time, the implementation of class_weight='balanced' to address enrollment outcome imbalance — represent solutions to engineering problems that any team undertaking a similar integration would encounter.</w:t>
      </w:r>
    </w:p>
    <w:p w14:paraId="0724AE7D" w14:textId="77777777" w:rsidR="003271FC" w:rsidRDefault="003271FC" w:rsidP="003271FC">
      <w:pPr>
        <w:spacing w:before="120" w:after="120" w:line="360" w:lineRule="auto"/>
        <w:jc w:val="both"/>
      </w:pPr>
      <w:r>
        <w:rPr>
          <w:rFonts w:ascii="Arial" w:eastAsia="Arial" w:hAnsi="Arial" w:cs="Arial"/>
        </w:rPr>
        <w:t>At the technical level, the LearnLogix platform itself represents a reusable contribution to the educational technology research community. The full-stack architecture, the ML pipeline, and the analytics dashboard together form an open reference implementation that researchers can adapt, extend, or use as a baseline against which more advanced approaches can be benchmarked. The modular design of the recommender.py and predictor.py modules means that alternative algorithms can be substituted without requiring changes to the broader application architecture.</w:t>
      </w:r>
    </w:p>
    <w:p w14:paraId="2546B899" w14:textId="77777777" w:rsidR="003271FC" w:rsidRDefault="003271FC" w:rsidP="003271FC">
      <w:pPr>
        <w:spacing w:before="200"/>
      </w:pPr>
    </w:p>
    <w:p w14:paraId="25247F1F" w14:textId="77777777" w:rsidR="003271FC" w:rsidRPr="003271FC" w:rsidRDefault="003271FC" w:rsidP="003271FC">
      <w:pPr>
        <w:pStyle w:val="Heading2"/>
        <w:rPr>
          <w:color w:val="000000" w:themeColor="text1"/>
        </w:rPr>
      </w:pPr>
      <w:r>
        <w:rPr>
          <w:rFonts w:ascii="Arial" w:eastAsia="Arial" w:hAnsi="Arial" w:cs="Arial"/>
          <w:color w:val="000000" w:themeColor="text1"/>
        </w:rPr>
        <w:t>6.7 Limitations of the Study</w:t>
      </w:r>
    </w:p>
    <w:p w14:paraId="042D7FAD" w14:textId="77777777" w:rsidR="003271FC" w:rsidRDefault="003271FC" w:rsidP="003271FC">
      <w:pPr>
        <w:spacing w:before="120" w:after="120" w:line="360" w:lineRule="auto"/>
        <w:jc w:val="both"/>
      </w:pPr>
      <w:r>
        <w:rPr>
          <w:rFonts w:ascii="Arial" w:eastAsia="Arial" w:hAnsi="Arial" w:cs="Arial"/>
        </w:rPr>
        <w:t>Intellectual honesty requires that the limitations of this study be stated with the same clarity as its contributions. Four principal limitations are acknowledged.</w:t>
      </w:r>
    </w:p>
    <w:p w14:paraId="6087BC8A" w14:textId="77777777" w:rsidR="003271FC" w:rsidRDefault="003271FC" w:rsidP="003271FC">
      <w:pPr>
        <w:spacing w:before="120" w:after="120" w:line="360" w:lineRule="auto"/>
        <w:jc w:val="both"/>
      </w:pPr>
      <w:r>
        <w:rPr>
          <w:rFonts w:ascii="Arial" w:eastAsia="Arial" w:hAnsi="Arial" w:cs="Arial"/>
        </w:rPr>
        <w:t>First, the training and evaluation dataset of one hundred and eighty-nine enrollment records, while adequate for a proof-of-concept evaluation, is insufficient to establish the statistical robustness of the model's performance metrics with high confidence. Confidence intervals around the reported precision, recall, and AUC-ROC values would be wide at this sample size, and it is possible that the observed performance would not replicate on a substantially larger or more diverse dataset. The study treats the reported metrics as preliminary estimates that motivate continued data collection rather than as definitive performance characterisations.</w:t>
      </w:r>
    </w:p>
    <w:p w14:paraId="5258F487" w14:textId="77777777" w:rsidR="003271FC" w:rsidRDefault="003271FC" w:rsidP="003271FC">
      <w:pPr>
        <w:spacing w:before="120" w:after="120" w:line="360" w:lineRule="auto"/>
        <w:jc w:val="both"/>
      </w:pPr>
      <w:r>
        <w:rPr>
          <w:rFonts w:ascii="Arial" w:eastAsia="Arial" w:hAnsi="Arial" w:cs="Arial"/>
        </w:rPr>
        <w:lastRenderedPageBreak/>
        <w:t>Second, the study was conducted within a single institutional context — specifically, the controlled development and testing environment of the LearnLogix platform itself — without deployment to a real student population under naturalistic conditions. The absence of ecological validity is a significant limitation, as student behaviour in a real educational context may differ materially from the patterns observable in a test environment. A deployment study involving real students in a real course context would provide substantially more informative evidence about the platform's effectiveness.</w:t>
      </w:r>
    </w:p>
    <w:p w14:paraId="39A9C0E6" w14:textId="77777777" w:rsidR="003271FC" w:rsidRDefault="003271FC" w:rsidP="003271FC">
      <w:pPr>
        <w:spacing w:before="120" w:after="120" w:line="360" w:lineRule="auto"/>
        <w:jc w:val="both"/>
      </w:pPr>
      <w:r>
        <w:rPr>
          <w:rFonts w:ascii="Arial" w:eastAsia="Arial" w:hAnsi="Arial" w:cs="Arial"/>
        </w:rPr>
        <w:t>Third, the quiz score metric, which is used as both an outcome measure and a predictor, is an imperfect proxy for actual learning. A student who achieves a high quiz score may do so through rote memorisation or through repeated attempts at the same quiz, neither of which necessarily reflects the development of durable, transferable knowledge. More sophisticated learning outcome measures — such as performance on delayed retention tests, or the application of learned concepts in novel problem-solving contexts — would provide a more valid measure of educational effectiveness but would require a substantially more complex data collection infrastructure.</w:t>
      </w:r>
    </w:p>
    <w:p w14:paraId="405A19F0" w14:textId="77777777" w:rsidR="003271FC" w:rsidRDefault="003271FC" w:rsidP="003271FC">
      <w:pPr>
        <w:spacing w:before="120" w:after="120" w:line="360" w:lineRule="auto"/>
        <w:jc w:val="both"/>
      </w:pPr>
      <w:r>
        <w:rPr>
          <w:rFonts w:ascii="Arial" w:eastAsia="Arial" w:hAnsi="Arial" w:cs="Arial"/>
        </w:rPr>
        <w:t>Fourth, the study does not address the ethical dimensions of deploying predictive analytics in an educational context. The use of a predicted_success_rate to flag at-risk students raises questions about the potential for algorithmic bias — specifically, the possibility that the model's predictions are systematically less accurate for students belonging to demographic groups that are underrepresented in the training data. A full ethical evaluation of the system, including an audit for differential prediction accuracy across demographic subgroups, is recommended before any deployment to a real student population.</w:t>
      </w:r>
    </w:p>
    <w:p w14:paraId="5BA1D29E" w14:textId="77777777" w:rsidR="003271FC" w:rsidRDefault="003271FC" w:rsidP="003271FC">
      <w:pPr>
        <w:spacing w:before="200"/>
      </w:pPr>
    </w:p>
    <w:p w14:paraId="6A19EDB5" w14:textId="77777777" w:rsidR="003271FC" w:rsidRPr="003271FC" w:rsidRDefault="003271FC" w:rsidP="003271FC">
      <w:pPr>
        <w:pStyle w:val="Heading2"/>
        <w:rPr>
          <w:color w:val="000000" w:themeColor="text1"/>
        </w:rPr>
      </w:pPr>
      <w:r>
        <w:rPr>
          <w:rFonts w:ascii="Arial" w:eastAsia="Arial" w:hAnsi="Arial" w:cs="Arial"/>
          <w:color w:val="000000" w:themeColor="text1"/>
        </w:rPr>
        <w:t>6.8 Future Research Directions</w:t>
      </w:r>
    </w:p>
    <w:p w14:paraId="7FC131AF" w14:textId="77777777" w:rsidR="003271FC" w:rsidRDefault="003271FC" w:rsidP="003271FC">
      <w:pPr>
        <w:spacing w:before="120" w:after="120" w:line="360" w:lineRule="auto"/>
        <w:jc w:val="both"/>
      </w:pPr>
      <w:r>
        <w:rPr>
          <w:rFonts w:ascii="Arial" w:eastAsia="Arial" w:hAnsi="Arial" w:cs="Arial"/>
        </w:rPr>
        <w:t>The LearnLogix study opens several directions for future empirical research that extend beyond the scope of the current work.</w:t>
      </w:r>
    </w:p>
    <w:p w14:paraId="319C0D39" w14:textId="77777777" w:rsidR="003271FC" w:rsidRDefault="003271FC" w:rsidP="003271FC">
      <w:pPr>
        <w:spacing w:before="120" w:after="120" w:line="360" w:lineRule="auto"/>
        <w:jc w:val="both"/>
      </w:pPr>
      <w:r>
        <w:rPr>
          <w:rFonts w:ascii="Arial" w:eastAsia="Arial" w:hAnsi="Arial" w:cs="Arial"/>
        </w:rPr>
        <w:t xml:space="preserve">A longitudinal study tracking the career and educational outcomes of students who completed courses through an ML-integrated LMS, compared to students who completed equivalent courses through a conventional LMS, would provide the most </w:t>
      </w:r>
      <w:r>
        <w:rPr>
          <w:rFonts w:ascii="Arial" w:eastAsia="Arial" w:hAnsi="Arial" w:cs="Arial"/>
        </w:rPr>
        <w:lastRenderedPageBreak/>
        <w:t>direct evidence for the educational value of the adaptive features developed in this study. Such a study would require multi-year follow-up and careful experimental design, but would produce findings of substantial relevance to educational policy as well as platform design.</w:t>
      </w:r>
    </w:p>
    <w:p w14:paraId="4AB406EB" w14:textId="5A9C81BF" w:rsidR="003271FC" w:rsidRDefault="003271FC" w:rsidP="003271FC">
      <w:pPr>
        <w:spacing w:before="120" w:after="120" w:line="360" w:lineRule="auto"/>
        <w:jc w:val="both"/>
      </w:pPr>
      <w:r>
        <w:rPr>
          <w:rFonts w:ascii="Arial" w:eastAsia="Arial" w:hAnsi="Arial" w:cs="Arial"/>
        </w:rPr>
        <w:t xml:space="preserve">A cross-institutional validation study deploying the LearnLogix platform or its core ML models across multiple educational institutions with different learner demographics, subject domains, and instructional </w:t>
      </w:r>
      <w:proofErr w:type="gramStart"/>
      <w:r>
        <w:rPr>
          <w:rFonts w:ascii="Arial" w:eastAsia="Arial" w:hAnsi="Arial" w:cs="Arial"/>
        </w:rPr>
        <w:t>philosophies  would</w:t>
      </w:r>
      <w:proofErr w:type="gramEnd"/>
      <w:r>
        <w:rPr>
          <w:rFonts w:ascii="Arial" w:eastAsia="Arial" w:hAnsi="Arial" w:cs="Arial"/>
        </w:rPr>
        <w:t xml:space="preserve"> assess the generalisability of the current findings and identify moderating variables that affect model performance. This would be particularly valuable for establishing the conditions under which the success prediction model's accuracy is maintained and the conditions under which it degrades.</w:t>
      </w:r>
    </w:p>
    <w:p w14:paraId="777A3C96" w14:textId="77777777" w:rsidR="003271FC" w:rsidRDefault="003271FC" w:rsidP="003271FC">
      <w:pPr>
        <w:spacing w:before="120" w:after="120" w:line="360" w:lineRule="auto"/>
        <w:jc w:val="both"/>
      </w:pPr>
      <w:r>
        <w:rPr>
          <w:rFonts w:ascii="Arial" w:eastAsia="Arial" w:hAnsi="Arial" w:cs="Arial"/>
        </w:rPr>
        <w:t>The ethical implications of predictive analytics in education merit dedicated empirical and philosophical investigation. Research questions in this area include: How do students respond to being informed that they have been identified as at-risk by an algorithmic system? Does the provision of a predicted success probability increase or decrease student self-efficacy? Are there equity implications for the recommendation engine's reliance on declared interests, which may reflect prior educational opportunity rather than genuine capability?</w:t>
      </w:r>
    </w:p>
    <w:p w14:paraId="277330D1" w14:textId="14DB0B76" w:rsidR="003271FC" w:rsidRDefault="003271FC" w:rsidP="003271FC">
      <w:pPr>
        <w:spacing w:before="120" w:after="120" w:line="360" w:lineRule="auto"/>
        <w:jc w:val="both"/>
      </w:pPr>
      <w:r>
        <w:rPr>
          <w:rFonts w:ascii="Arial" w:eastAsia="Arial" w:hAnsi="Arial" w:cs="Arial"/>
        </w:rPr>
        <w:t xml:space="preserve">Finally, the effectiveness of the specific gamification design implemented in </w:t>
      </w:r>
      <w:proofErr w:type="gramStart"/>
      <w:r>
        <w:rPr>
          <w:rFonts w:ascii="Arial" w:eastAsia="Arial" w:hAnsi="Arial" w:cs="Arial"/>
        </w:rPr>
        <w:t>LearnLogix  the</w:t>
      </w:r>
      <w:proofErr w:type="gramEnd"/>
      <w:r>
        <w:rPr>
          <w:rFonts w:ascii="Arial" w:eastAsia="Arial" w:hAnsi="Arial" w:cs="Arial"/>
        </w:rPr>
        <w:t xml:space="preserve"> daily streak, </w:t>
      </w:r>
      <w:proofErr w:type="gramStart"/>
      <w:r>
        <w:rPr>
          <w:rFonts w:ascii="Arial" w:eastAsia="Arial" w:hAnsi="Arial" w:cs="Arial"/>
        </w:rPr>
        <w:t>specifically  as</w:t>
      </w:r>
      <w:proofErr w:type="gramEnd"/>
      <w:r>
        <w:rPr>
          <w:rFonts w:ascii="Arial" w:eastAsia="Arial" w:hAnsi="Arial" w:cs="Arial"/>
        </w:rPr>
        <w:t xml:space="preserve"> compared to alternative gamification mechanisms such as badges, leaderboards, and experience points deserves dedicated investigation. A within-platform randomised controlled trial, in which different student cohorts are exposed to different gamification configurations, would provide causal evidence for the relative effectiveness of these mechanisms in the context of self-paced online learning.</w:t>
      </w:r>
    </w:p>
    <w:p w14:paraId="09F94C7A" w14:textId="77777777" w:rsidR="003271FC" w:rsidRDefault="003271FC" w:rsidP="003271FC">
      <w:pPr>
        <w:spacing w:before="200"/>
      </w:pPr>
    </w:p>
    <w:p w14:paraId="3BF7A67C" w14:textId="77777777" w:rsidR="003271FC" w:rsidRPr="003271FC" w:rsidRDefault="003271FC" w:rsidP="003271FC">
      <w:pPr>
        <w:pStyle w:val="Heading2"/>
        <w:rPr>
          <w:color w:val="000000" w:themeColor="text1"/>
        </w:rPr>
      </w:pPr>
      <w:r>
        <w:rPr>
          <w:rFonts w:ascii="Arial" w:eastAsia="Arial" w:hAnsi="Arial" w:cs="Arial"/>
          <w:color w:val="000000" w:themeColor="text1"/>
        </w:rPr>
        <w:t>6.9 Closing Statement</w:t>
      </w:r>
    </w:p>
    <w:p w14:paraId="26BAA56F" w14:textId="77777777" w:rsidR="003271FC" w:rsidRDefault="003271FC" w:rsidP="003271FC">
      <w:pPr>
        <w:spacing w:before="120" w:after="120" w:line="360" w:lineRule="auto"/>
        <w:jc w:val="both"/>
      </w:pPr>
      <w:r>
        <w:rPr>
          <w:rFonts w:ascii="Arial" w:eastAsia="Arial" w:hAnsi="Arial" w:cs="Arial"/>
        </w:rPr>
        <w:t xml:space="preserve">The LearnLogix Learning Management System represents a considered attempt to close the gap between the potential of machine learning as a tool for educational personalisation and the practical reality of how that potential is realised within a deployable, maintainable software system. The platform demonstrates that meaningful intelligence in the form of a success predictor that identifies at-risk </w:t>
      </w:r>
      <w:r>
        <w:rPr>
          <w:rFonts w:ascii="Arial" w:eastAsia="Arial" w:hAnsi="Arial" w:cs="Arial"/>
        </w:rPr>
        <w:lastRenderedPageBreak/>
        <w:t>students before they disengage, a recommendation engine that surfaces relevant courses from a growing catalog, and an analytics dashboard that makes the invisible patterns of a student's learning behaviour visible to both the student and their instructor can be embedded within a conventional LMS architecture without requiring specialised infrastructure or an expert machine learning engineering team.</w:t>
      </w:r>
    </w:p>
    <w:p w14:paraId="61696A9D" w14:textId="77777777" w:rsidR="003271FC" w:rsidRDefault="003271FC" w:rsidP="003271FC">
      <w:pPr>
        <w:spacing w:before="120" w:after="120" w:line="360" w:lineRule="auto"/>
        <w:jc w:val="both"/>
      </w:pPr>
      <w:r>
        <w:rPr>
          <w:rFonts w:ascii="Arial" w:eastAsia="Arial" w:hAnsi="Arial" w:cs="Arial"/>
        </w:rPr>
        <w:t>At the same time, the study is forthright about what the current implementation does not yet achieve. The dataset is small, the cold-start problem is unresolved, the time-spent metric is imperfect, and the ethical dimensions of algorithmic prediction in educational contexts have not yet been fully examined. These limitations are not reasons for pessimism; they are the markers that define the frontier of work that remains to be done.</w:t>
      </w:r>
    </w:p>
    <w:p w14:paraId="242BFA54" w14:textId="77777777" w:rsidR="003271FC" w:rsidRDefault="003271FC" w:rsidP="003271FC">
      <w:pPr>
        <w:spacing w:before="120" w:after="120" w:line="360" w:lineRule="auto"/>
        <w:jc w:val="both"/>
      </w:pPr>
      <w:r>
        <w:rPr>
          <w:rFonts w:ascii="Arial" w:eastAsia="Arial" w:hAnsi="Arial" w:cs="Arial"/>
        </w:rPr>
        <w:t>The vision that motivates the LearnLogix project is a learning environment in which every student receives an experience that is calibrated to their individual history, their individual strengths, and their individual learning goals not because an instructor has the time to provide bespoke attention to every learner simultaneously, which they do not, but because the system has learned to provide that calibration automatically, freeing the instructor to invest their finite time and attention in the interactions where human judgement and human connection are most irreplaceable. That vision is not yet fully realised in the current implementation, but the architecture is in place, the evidence is encouraging, and the path forward is clear.</w:t>
      </w:r>
    </w:p>
    <w:p w14:paraId="462F3491" w14:textId="77777777" w:rsidR="003271FC" w:rsidRDefault="003271FC" w:rsidP="003271FC">
      <w:pPr>
        <w:spacing w:before="120" w:after="120" w:line="360" w:lineRule="auto"/>
        <w:jc w:val="both"/>
      </w:pPr>
      <w:r>
        <w:rPr>
          <w:rFonts w:ascii="Arial" w:eastAsia="Arial" w:hAnsi="Arial" w:cs="Arial"/>
        </w:rPr>
        <w:t>The future of education is not one in which machines replace educators. It is one in which machines handle the cognitive labour of monitoring, predicting, and adapting so that educators can focus on the distinctly human work of inspiring, mentoring, and transforming the students in their care.</w:t>
      </w:r>
    </w:p>
    <w:p w14:paraId="1C008687" w14:textId="77777777" w:rsidR="003271FC" w:rsidRDefault="003271FC" w:rsidP="003271FC">
      <w:pPr>
        <w:spacing w:before="200"/>
      </w:pPr>
    </w:p>
    <w:p w14:paraId="5B35B971" w14:textId="77777777" w:rsidR="00C66298" w:rsidRDefault="00C66298">
      <w:pPr>
        <w:pageBreakBefore/>
      </w:pPr>
    </w:p>
    <w:p w14:paraId="3717FA12" w14:textId="77777777" w:rsidR="00C66298" w:rsidRPr="00466A93" w:rsidRDefault="00000000" w:rsidP="00466A93">
      <w:pPr>
        <w:pStyle w:val="Heading1"/>
        <w:jc w:val="center"/>
        <w:rPr>
          <w:color w:val="000000" w:themeColor="text1"/>
        </w:rPr>
      </w:pPr>
      <w:r w:rsidRPr="00466A93">
        <w:rPr>
          <w:color w:val="000000" w:themeColor="text1"/>
        </w:rPr>
        <w:t>SYSTEM INTERFACE IMAGES</w:t>
      </w:r>
    </w:p>
    <w:p w14:paraId="2DE14C19" w14:textId="77777777" w:rsidR="00C66298" w:rsidRDefault="00000000">
      <w:pPr>
        <w:spacing w:before="100" w:after="240"/>
      </w:pPr>
      <w:r>
        <w:rPr>
          <w:color w:val="000000"/>
        </w:rPr>
        <w:t>This section presents screenshots of the LearnLogix intelligent e-learning platform interface. Each figure corresponds to a key functional area of the system as implemented and described in this project report.</w:t>
      </w:r>
    </w:p>
    <w:p w14:paraId="37312077" w14:textId="77777777" w:rsidR="00C66298" w:rsidRDefault="00000000">
      <w:pPr>
        <w:spacing w:before="200" w:after="80"/>
        <w:jc w:val="center"/>
      </w:pPr>
      <w:r>
        <w:rPr>
          <w:noProof/>
        </w:rPr>
        <w:drawing>
          <wp:inline distT="0" distB="0" distL="0" distR="0" wp14:anchorId="08FAFB58" wp14:editId="1F8912BF">
            <wp:extent cx="5486400" cy="2465214"/>
            <wp:effectExtent l="0" t="0" r="0" b="0"/>
            <wp:docPr id="1" name="LearnLogix_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arnLogix_Courses"/>
                    <pic:cNvPicPr>
                      <a:picLocks noChangeAspect="1" noChangeArrowheads="1"/>
                    </pic:cNvPicPr>
                  </pic:nvPicPr>
                  <pic:blipFill>
                    <a:blip r:embed="rId8"/>
                    <a:stretch>
                      <a:fillRect/>
                    </a:stretch>
                  </pic:blipFill>
                  <pic:spPr bwMode="auto">
                    <a:xfrm>
                      <a:off x="0" y="0"/>
                      <a:ext cx="5486400" cy="2465214"/>
                    </a:xfrm>
                    <a:prstGeom prst="rect">
                      <a:avLst/>
                    </a:prstGeom>
                  </pic:spPr>
                </pic:pic>
              </a:graphicData>
            </a:graphic>
          </wp:inline>
        </w:drawing>
      </w:r>
    </w:p>
    <w:p w14:paraId="72B756B6" w14:textId="77777777" w:rsidR="00C66298" w:rsidRDefault="00000000">
      <w:pPr>
        <w:spacing w:before="60" w:after="280"/>
        <w:jc w:val="center"/>
      </w:pPr>
      <w:r>
        <w:rPr>
          <w:i/>
          <w:iCs/>
          <w:sz w:val="22"/>
          <w:szCs w:val="22"/>
        </w:rPr>
        <w:t>Figure 1: Explore Our Courses — The LearnLogix course catalogue page displaying available courses with category badges, instructor names, module counts, and thumbnail images.</w:t>
      </w:r>
    </w:p>
    <w:p w14:paraId="7E866A04" w14:textId="77777777" w:rsidR="00C66298" w:rsidRDefault="00C66298">
      <w:pPr>
        <w:spacing w:before="240"/>
      </w:pPr>
    </w:p>
    <w:p w14:paraId="059E1CDC" w14:textId="77777777" w:rsidR="00C66298" w:rsidRDefault="00000000">
      <w:pPr>
        <w:spacing w:before="200" w:after="80"/>
        <w:jc w:val="center"/>
      </w:pPr>
      <w:r>
        <w:rPr>
          <w:noProof/>
        </w:rPr>
        <w:drawing>
          <wp:inline distT="0" distB="0" distL="0" distR="0" wp14:anchorId="68A0F091" wp14:editId="0139D9F3">
            <wp:extent cx="5486400" cy="2092569"/>
            <wp:effectExtent l="0" t="0" r="0" b="0"/>
            <wp:docPr id="2" name="LearnLogix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rnLogix_Dashboard"/>
                    <pic:cNvPicPr>
                      <a:picLocks noChangeAspect="1" noChangeArrowheads="1"/>
                    </pic:cNvPicPr>
                  </pic:nvPicPr>
                  <pic:blipFill>
                    <a:blip r:embed="rId9"/>
                    <a:stretch>
                      <a:fillRect/>
                    </a:stretch>
                  </pic:blipFill>
                  <pic:spPr bwMode="auto">
                    <a:xfrm>
                      <a:off x="0" y="0"/>
                      <a:ext cx="5486400" cy="2092569"/>
                    </a:xfrm>
                    <a:prstGeom prst="rect">
                      <a:avLst/>
                    </a:prstGeom>
                  </pic:spPr>
                </pic:pic>
              </a:graphicData>
            </a:graphic>
          </wp:inline>
        </w:drawing>
      </w:r>
    </w:p>
    <w:p w14:paraId="1DC5CBB6" w14:textId="77777777" w:rsidR="00C66298" w:rsidRDefault="00000000">
      <w:pPr>
        <w:spacing w:before="60" w:after="280"/>
        <w:jc w:val="center"/>
      </w:pPr>
      <w:r>
        <w:rPr>
          <w:i/>
          <w:iCs/>
          <w:sz w:val="22"/>
          <w:szCs w:val="22"/>
        </w:rPr>
        <w:t>Figure 2: Student Dashboard — The personalised analytics dashboard showing the learning velocity graph, AI-powered success predictions, recommended courses, and platform summary statistics.</w:t>
      </w:r>
    </w:p>
    <w:p w14:paraId="4824C9E7" w14:textId="77777777" w:rsidR="00C66298" w:rsidRDefault="00C66298">
      <w:pPr>
        <w:spacing w:before="240"/>
      </w:pPr>
    </w:p>
    <w:p w14:paraId="46627304" w14:textId="77777777" w:rsidR="00C66298" w:rsidRDefault="00000000">
      <w:pPr>
        <w:spacing w:before="200" w:after="80"/>
        <w:jc w:val="center"/>
      </w:pPr>
      <w:r>
        <w:rPr>
          <w:noProof/>
        </w:rPr>
        <w:lastRenderedPageBreak/>
        <w:drawing>
          <wp:inline distT="0" distB="0" distL="0" distR="0" wp14:anchorId="236AE8A4" wp14:editId="576B993F">
            <wp:extent cx="5486400" cy="2803671"/>
            <wp:effectExtent l="0" t="0" r="0" b="0"/>
            <wp:docPr id="3" name="LearnLogix_Admin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arnLogix_AdminPanel"/>
                    <pic:cNvPicPr>
                      <a:picLocks noChangeAspect="1" noChangeArrowheads="1"/>
                    </pic:cNvPicPr>
                  </pic:nvPicPr>
                  <pic:blipFill>
                    <a:blip r:embed="rId10"/>
                    <a:stretch>
                      <a:fillRect/>
                    </a:stretch>
                  </pic:blipFill>
                  <pic:spPr bwMode="auto">
                    <a:xfrm>
                      <a:off x="0" y="0"/>
                      <a:ext cx="5486400" cy="2803671"/>
                    </a:xfrm>
                    <a:prstGeom prst="rect">
                      <a:avLst/>
                    </a:prstGeom>
                  </pic:spPr>
                </pic:pic>
              </a:graphicData>
            </a:graphic>
          </wp:inline>
        </w:drawing>
      </w:r>
    </w:p>
    <w:p w14:paraId="49E340F6" w14:textId="77777777" w:rsidR="00C66298" w:rsidRDefault="00000000">
      <w:pPr>
        <w:spacing w:before="60" w:after="280"/>
        <w:jc w:val="center"/>
      </w:pPr>
      <w:r>
        <w:rPr>
          <w:i/>
          <w:iCs/>
          <w:sz w:val="22"/>
          <w:szCs w:val="22"/>
        </w:rPr>
        <w:t>Figure 3: Django Administration Panel — The backend administration interface showing all registered data models including Courses, Enrollments, Lessons, Modules, Quizzes, Student Profiles, and Quiz Submissions.</w:t>
      </w:r>
    </w:p>
    <w:p w14:paraId="2E3FF569" w14:textId="77777777" w:rsidR="00C66298" w:rsidRDefault="00C66298">
      <w:pPr>
        <w:spacing w:before="240"/>
      </w:pPr>
    </w:p>
    <w:p w14:paraId="66B68107" w14:textId="77777777" w:rsidR="00C66298" w:rsidRDefault="00000000">
      <w:pPr>
        <w:spacing w:before="200" w:after="80"/>
        <w:jc w:val="center"/>
      </w:pPr>
      <w:r>
        <w:rPr>
          <w:noProof/>
        </w:rPr>
        <w:drawing>
          <wp:inline distT="0" distB="0" distL="0" distR="0" wp14:anchorId="55E2D7AC" wp14:editId="7A78B21B">
            <wp:extent cx="5486400" cy="2353016"/>
            <wp:effectExtent l="0" t="0" r="0" b="0"/>
            <wp:docPr id="4" name="LearnLogix_Quiz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arnLogix_QuizInterface"/>
                    <pic:cNvPicPr>
                      <a:picLocks noChangeAspect="1" noChangeArrowheads="1"/>
                    </pic:cNvPicPr>
                  </pic:nvPicPr>
                  <pic:blipFill>
                    <a:blip r:embed="rId11"/>
                    <a:stretch>
                      <a:fillRect/>
                    </a:stretch>
                  </pic:blipFill>
                  <pic:spPr bwMode="auto">
                    <a:xfrm>
                      <a:off x="0" y="0"/>
                      <a:ext cx="5486400" cy="2353016"/>
                    </a:xfrm>
                    <a:prstGeom prst="rect">
                      <a:avLst/>
                    </a:prstGeom>
                  </pic:spPr>
                </pic:pic>
              </a:graphicData>
            </a:graphic>
          </wp:inline>
        </w:drawing>
      </w:r>
    </w:p>
    <w:p w14:paraId="0280D91E" w14:textId="77777777" w:rsidR="00C66298" w:rsidRDefault="00000000">
      <w:pPr>
        <w:spacing w:before="60" w:after="280"/>
        <w:jc w:val="center"/>
      </w:pPr>
      <w:r>
        <w:rPr>
          <w:i/>
          <w:iCs/>
          <w:sz w:val="22"/>
          <w:szCs w:val="22"/>
        </w:rPr>
        <w:t>Figure 4: Quiz Interface — An active module quiz session within the Data Mining course, displaying timed multiple-choice questions alongside the course module navigation panel and student progress bar.</w:t>
      </w:r>
    </w:p>
    <w:p w14:paraId="2415F2C5" w14:textId="77777777" w:rsidR="00C66298" w:rsidRDefault="00C66298">
      <w:pPr>
        <w:spacing w:before="240"/>
      </w:pPr>
    </w:p>
    <w:p w14:paraId="790F431C" w14:textId="77777777" w:rsidR="00C66298" w:rsidRDefault="00000000">
      <w:pPr>
        <w:spacing w:before="200" w:after="80"/>
        <w:jc w:val="center"/>
      </w:pPr>
      <w:r>
        <w:rPr>
          <w:noProof/>
        </w:rPr>
        <w:lastRenderedPageBreak/>
        <w:drawing>
          <wp:inline distT="0" distB="0" distL="0" distR="0" wp14:anchorId="0355A0BC" wp14:editId="07040792">
            <wp:extent cx="5486400" cy="3818913"/>
            <wp:effectExtent l="0" t="0" r="0" b="0"/>
            <wp:docPr id="5" name="LearnLogix_Quiz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arnLogix_QuizResult"/>
                    <pic:cNvPicPr>
                      <a:picLocks noChangeAspect="1" noChangeArrowheads="1"/>
                    </pic:cNvPicPr>
                  </pic:nvPicPr>
                  <pic:blipFill>
                    <a:blip r:embed="rId12"/>
                    <a:stretch>
                      <a:fillRect/>
                    </a:stretch>
                  </pic:blipFill>
                  <pic:spPr bwMode="auto">
                    <a:xfrm>
                      <a:off x="0" y="0"/>
                      <a:ext cx="5486400" cy="3818913"/>
                    </a:xfrm>
                    <a:prstGeom prst="rect">
                      <a:avLst/>
                    </a:prstGeom>
                  </pic:spPr>
                </pic:pic>
              </a:graphicData>
            </a:graphic>
          </wp:inline>
        </w:drawing>
      </w:r>
    </w:p>
    <w:p w14:paraId="598E8E51" w14:textId="77777777" w:rsidR="00C66298" w:rsidRDefault="00000000">
      <w:pPr>
        <w:spacing w:before="60" w:after="280"/>
        <w:jc w:val="center"/>
      </w:pPr>
      <w:r>
        <w:rPr>
          <w:i/>
          <w:iCs/>
          <w:sz w:val="22"/>
          <w:szCs w:val="22"/>
        </w:rPr>
        <w:t>Figure 5: Quiz Result Screen — The post-submission result screen displaying the student score, number of correct answers out of total questions, submission timestamp, and a Retake Quiz option.</w:t>
      </w:r>
    </w:p>
    <w:p w14:paraId="4CF6B116" w14:textId="77777777" w:rsidR="00C66298" w:rsidRDefault="00C66298">
      <w:pPr>
        <w:spacing w:before="240"/>
      </w:pPr>
    </w:p>
    <w:p w14:paraId="2EF475E8" w14:textId="77777777" w:rsidR="00C66298" w:rsidRDefault="00C66298">
      <w:pPr>
        <w:pageBreakBefore/>
      </w:pPr>
    </w:p>
    <w:p w14:paraId="735C01BF" w14:textId="77777777" w:rsidR="003271FC" w:rsidRPr="003271FC" w:rsidRDefault="003271FC" w:rsidP="003271FC">
      <w:pPr>
        <w:pStyle w:val="Heading1"/>
        <w:rPr>
          <w:color w:val="000000" w:themeColor="text1"/>
        </w:rPr>
      </w:pPr>
      <w:r>
        <w:rPr>
          <w:rFonts w:ascii="Arial" w:eastAsia="Arial" w:hAnsi="Arial" w:cs="Arial"/>
          <w:color w:val="000000" w:themeColor="text1"/>
        </w:rPr>
        <w:t>REFERENCES</w:t>
      </w:r>
    </w:p>
    <w:p w14:paraId="2BBBECA2" w14:textId="77777777" w:rsidR="003271FC" w:rsidRDefault="003271FC" w:rsidP="003271FC">
      <w:pPr>
        <w:spacing w:before="120"/>
      </w:pPr>
    </w:p>
    <w:p w14:paraId="6371BA39" w14:textId="77777777" w:rsidR="003271FC" w:rsidRDefault="003271FC" w:rsidP="003271FC">
      <w:pPr>
        <w:spacing w:before="120" w:after="120" w:line="360" w:lineRule="auto"/>
        <w:jc w:val="both"/>
      </w:pPr>
      <w:r>
        <w:rPr>
          <w:rFonts w:ascii="Arial" w:eastAsia="Arial" w:hAnsi="Arial" w:cs="Arial"/>
        </w:rPr>
        <w:t>Burke, R. (2002). Hybrid recommender systems: Survey and experiments. User Modeling and User-Adapted Interaction, 12(4), 331–370.</w:t>
      </w:r>
    </w:p>
    <w:p w14:paraId="1D01FF77" w14:textId="77777777" w:rsidR="003271FC" w:rsidRDefault="003271FC" w:rsidP="003271FC">
      <w:pPr>
        <w:spacing w:before="80"/>
      </w:pPr>
    </w:p>
    <w:p w14:paraId="70B23B24" w14:textId="77777777" w:rsidR="003271FC" w:rsidRDefault="003271FC" w:rsidP="003271FC">
      <w:pPr>
        <w:spacing w:before="120" w:after="120" w:line="360" w:lineRule="auto"/>
        <w:jc w:val="both"/>
      </w:pPr>
      <w:r>
        <w:rPr>
          <w:rFonts w:ascii="Arial" w:eastAsia="Arial" w:hAnsi="Arial" w:cs="Arial"/>
        </w:rPr>
        <w:t>Few, S. (2006). Information dashboard design: The effective visual communication of data. O'Reilly Media.</w:t>
      </w:r>
    </w:p>
    <w:p w14:paraId="0093B5CA" w14:textId="77777777" w:rsidR="003271FC" w:rsidRDefault="003271FC" w:rsidP="003271FC">
      <w:pPr>
        <w:spacing w:before="80"/>
      </w:pPr>
    </w:p>
    <w:p w14:paraId="3DB1B477" w14:textId="77777777" w:rsidR="003271FC" w:rsidRDefault="003271FC" w:rsidP="003271FC">
      <w:pPr>
        <w:spacing w:before="120" w:after="120" w:line="360" w:lineRule="auto"/>
        <w:jc w:val="both"/>
      </w:pPr>
      <w:r>
        <w:rPr>
          <w:rFonts w:ascii="Arial" w:eastAsia="Arial" w:hAnsi="Arial" w:cs="Arial"/>
        </w:rPr>
        <w:t>Hamari, J., Koivisto, J., &amp; Sarsa, H. (2014). Does gamification work? A literature review of empirical studies on gamification. Proceedings of the 47th Hawaii International Conference on System Sciences (HICSS), 3025–3034.</w:t>
      </w:r>
    </w:p>
    <w:p w14:paraId="656507E8" w14:textId="77777777" w:rsidR="003271FC" w:rsidRDefault="003271FC" w:rsidP="003271FC">
      <w:pPr>
        <w:spacing w:before="80"/>
      </w:pPr>
    </w:p>
    <w:p w14:paraId="6FED29F1" w14:textId="77777777" w:rsidR="003271FC" w:rsidRDefault="003271FC" w:rsidP="003271FC">
      <w:pPr>
        <w:spacing w:before="120" w:after="120" w:line="360" w:lineRule="auto"/>
        <w:jc w:val="both"/>
      </w:pPr>
      <w:r>
        <w:rPr>
          <w:rFonts w:ascii="Arial" w:eastAsia="Arial" w:hAnsi="Arial" w:cs="Arial"/>
        </w:rPr>
        <w:t>Kotsiantis, S. B., Pierrakeas, C. J., &amp; Pintelas, P. E. (2010). Predicting students' performance in distance learning using machine learning techniques. Applied Artificial Intelligence, 18(5), 411–426.</w:t>
      </w:r>
    </w:p>
    <w:p w14:paraId="786EFA82" w14:textId="77777777" w:rsidR="003271FC" w:rsidRDefault="003271FC" w:rsidP="003271FC">
      <w:pPr>
        <w:spacing w:before="80"/>
      </w:pPr>
    </w:p>
    <w:p w14:paraId="548D4616" w14:textId="77777777" w:rsidR="003271FC" w:rsidRDefault="003271FC" w:rsidP="003271FC">
      <w:pPr>
        <w:spacing w:before="120" w:after="120" w:line="360" w:lineRule="auto"/>
        <w:jc w:val="both"/>
      </w:pPr>
      <w:r>
        <w:rPr>
          <w:rFonts w:ascii="Arial" w:eastAsia="Arial" w:hAnsi="Arial" w:cs="Arial"/>
        </w:rPr>
        <w:t>Kovanovic, V., Gasevic, D., Joksimovic, S., Hatala, M., &amp; Adesope, O. (2015). Analytics of communities of inquiry: Effects of learning technology use on cognitive presence in asynchronous online discussions. The Internet and Higher Education, 27, 74–89.</w:t>
      </w:r>
    </w:p>
    <w:p w14:paraId="4AC69362" w14:textId="77777777" w:rsidR="003271FC" w:rsidRDefault="003271FC" w:rsidP="003271FC">
      <w:pPr>
        <w:spacing w:before="80"/>
      </w:pPr>
    </w:p>
    <w:p w14:paraId="3F10E4D4" w14:textId="77777777" w:rsidR="003271FC" w:rsidRDefault="003271FC" w:rsidP="003271FC">
      <w:pPr>
        <w:spacing w:before="120" w:after="120" w:line="360" w:lineRule="auto"/>
        <w:jc w:val="both"/>
      </w:pPr>
      <w:r>
        <w:rPr>
          <w:rFonts w:ascii="Arial" w:eastAsia="Arial" w:hAnsi="Arial" w:cs="Arial"/>
        </w:rPr>
        <w:t>Pedregosa, F., Varoquaux, G., Gramfort, A., Michel, V., Thirion, B., Grisel, O., ... &amp; Duchesnay, E. (2011). Scikit-learn: Machine learning in Python. Journal of Machine Learning Research, 12, 2825–2830.</w:t>
      </w:r>
    </w:p>
    <w:p w14:paraId="062764C6" w14:textId="77777777" w:rsidR="003271FC" w:rsidRDefault="003271FC" w:rsidP="003271FC">
      <w:pPr>
        <w:spacing w:before="80"/>
      </w:pPr>
    </w:p>
    <w:p w14:paraId="3051A58C" w14:textId="77777777" w:rsidR="003271FC" w:rsidRDefault="003271FC" w:rsidP="003271FC">
      <w:pPr>
        <w:spacing w:before="120" w:after="120" w:line="360" w:lineRule="auto"/>
        <w:jc w:val="both"/>
      </w:pPr>
      <w:r>
        <w:rPr>
          <w:rFonts w:ascii="Arial" w:eastAsia="Arial" w:hAnsi="Arial" w:cs="Arial"/>
        </w:rPr>
        <w:t>Ricci, F., Rokach, L., &amp; Shapira, B. (2011). Introduction to recommender systems handbook. In F. Ricci, L. Rokach, B. Shapira, &amp; P. B. Kantor (Eds.), Recommender systems handbook (pp. 1–35). Springer.</w:t>
      </w:r>
    </w:p>
    <w:p w14:paraId="4748A661" w14:textId="77777777" w:rsidR="003271FC" w:rsidRDefault="003271FC" w:rsidP="003271FC">
      <w:pPr>
        <w:spacing w:before="80"/>
      </w:pPr>
    </w:p>
    <w:p w14:paraId="4923ABC2" w14:textId="77777777" w:rsidR="003271FC" w:rsidRDefault="003271FC" w:rsidP="003271FC">
      <w:pPr>
        <w:spacing w:before="120" w:after="120" w:line="360" w:lineRule="auto"/>
        <w:jc w:val="both"/>
      </w:pPr>
      <w:r>
        <w:rPr>
          <w:rFonts w:ascii="Arial" w:eastAsia="Arial" w:hAnsi="Arial" w:cs="Arial"/>
        </w:rPr>
        <w:lastRenderedPageBreak/>
        <w:t>Vark Learn Limited. (2023). VARK: A guide to learning styles. Retrieved from https://vark-learn.com</w:t>
      </w:r>
    </w:p>
    <w:p w14:paraId="7881071E" w14:textId="77777777" w:rsidR="003271FC" w:rsidRDefault="003271FC" w:rsidP="007C7D34">
      <w:pPr>
        <w:spacing w:before="120" w:after="120" w:line="360" w:lineRule="auto"/>
        <w:jc w:val="both"/>
      </w:pPr>
    </w:p>
    <w:sectPr w:rsidR="003271FC">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87AC9" w14:textId="77777777" w:rsidR="00FB3A3F" w:rsidRDefault="00FB3A3F">
      <w:r>
        <w:separator/>
      </w:r>
    </w:p>
  </w:endnote>
  <w:endnote w:type="continuationSeparator" w:id="0">
    <w:p w14:paraId="09425791" w14:textId="77777777" w:rsidR="00FB3A3F" w:rsidRDefault="00FB3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BC60" w14:textId="77777777" w:rsidR="00B805E1" w:rsidRDefault="00000000">
    <w:pPr>
      <w:pBdr>
        <w:top w:val="single" w:sz="4" w:space="1" w:color="2E4D7B"/>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2386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2E522" w14:textId="77777777" w:rsidR="00FB3A3F" w:rsidRDefault="00FB3A3F">
      <w:r>
        <w:separator/>
      </w:r>
    </w:p>
  </w:footnote>
  <w:footnote w:type="continuationSeparator" w:id="0">
    <w:p w14:paraId="525704AF" w14:textId="77777777" w:rsidR="00FB3A3F" w:rsidRDefault="00FB3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4DB0" w14:textId="77777777" w:rsidR="00B805E1" w:rsidRDefault="00000000">
    <w:pPr>
      <w:pBdr>
        <w:bottom w:val="single" w:sz="4" w:space="1" w:color="2E4D7B"/>
      </w:pBdr>
      <w:jc w:val="right"/>
    </w:pPr>
    <w:r>
      <w:rPr>
        <w:i/>
        <w:iCs/>
        <w:color w:val="666666"/>
        <w:sz w:val="18"/>
        <w:szCs w:val="18"/>
      </w:rPr>
      <w:t xml:space="preserve">Intelligent E-Learning </w:t>
    </w:r>
    <w:proofErr w:type="gramStart"/>
    <w:r>
      <w:rPr>
        <w:i/>
        <w:iCs/>
        <w:color w:val="666666"/>
        <w:sz w:val="18"/>
        <w:szCs w:val="18"/>
      </w:rPr>
      <w:t>Platform  |</w:t>
    </w:r>
    <w:proofErr w:type="gramEnd"/>
    <w:r>
      <w:rPr>
        <w:i/>
        <w:iCs/>
        <w:color w:val="666666"/>
        <w:sz w:val="18"/>
        <w:szCs w:val="18"/>
      </w:rPr>
      <w:t xml:space="preserve">  Group 21B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5B74"/>
    <w:multiLevelType w:val="hybridMultilevel"/>
    <w:tmpl w:val="5478117C"/>
    <w:lvl w:ilvl="0" w:tplc="050AAB78">
      <w:start w:val="1"/>
      <w:numFmt w:val="bullet"/>
      <w:lvlText w:val="●"/>
      <w:lvlJc w:val="left"/>
      <w:pPr>
        <w:ind w:left="720" w:hanging="360"/>
      </w:pPr>
    </w:lvl>
    <w:lvl w:ilvl="1" w:tplc="954ABFAA">
      <w:start w:val="1"/>
      <w:numFmt w:val="bullet"/>
      <w:lvlText w:val="○"/>
      <w:lvlJc w:val="left"/>
      <w:pPr>
        <w:ind w:left="1440" w:hanging="360"/>
      </w:pPr>
    </w:lvl>
    <w:lvl w:ilvl="2" w:tplc="7C72A0E6">
      <w:start w:val="1"/>
      <w:numFmt w:val="bullet"/>
      <w:lvlText w:val="■"/>
      <w:lvlJc w:val="left"/>
      <w:pPr>
        <w:ind w:left="2160" w:hanging="360"/>
      </w:pPr>
    </w:lvl>
    <w:lvl w:ilvl="3" w:tplc="07FCC03A">
      <w:start w:val="1"/>
      <w:numFmt w:val="bullet"/>
      <w:lvlText w:val="●"/>
      <w:lvlJc w:val="left"/>
      <w:pPr>
        <w:ind w:left="2880" w:hanging="360"/>
      </w:pPr>
    </w:lvl>
    <w:lvl w:ilvl="4" w:tplc="10026AEE">
      <w:start w:val="1"/>
      <w:numFmt w:val="bullet"/>
      <w:lvlText w:val="○"/>
      <w:lvlJc w:val="left"/>
      <w:pPr>
        <w:ind w:left="3600" w:hanging="360"/>
      </w:pPr>
    </w:lvl>
    <w:lvl w:ilvl="5" w:tplc="B4386480">
      <w:start w:val="1"/>
      <w:numFmt w:val="bullet"/>
      <w:lvlText w:val="■"/>
      <w:lvlJc w:val="left"/>
      <w:pPr>
        <w:ind w:left="4320" w:hanging="360"/>
      </w:pPr>
    </w:lvl>
    <w:lvl w:ilvl="6" w:tplc="0C264840">
      <w:start w:val="1"/>
      <w:numFmt w:val="bullet"/>
      <w:lvlText w:val="●"/>
      <w:lvlJc w:val="left"/>
      <w:pPr>
        <w:ind w:left="5040" w:hanging="360"/>
      </w:pPr>
    </w:lvl>
    <w:lvl w:ilvl="7" w:tplc="0FEAC2B0">
      <w:start w:val="1"/>
      <w:numFmt w:val="bullet"/>
      <w:lvlText w:val="●"/>
      <w:lvlJc w:val="left"/>
      <w:pPr>
        <w:ind w:left="5760" w:hanging="360"/>
      </w:pPr>
    </w:lvl>
    <w:lvl w:ilvl="8" w:tplc="7C449BDE">
      <w:start w:val="1"/>
      <w:numFmt w:val="bullet"/>
      <w:lvlText w:val="●"/>
      <w:lvlJc w:val="left"/>
      <w:pPr>
        <w:ind w:left="6480" w:hanging="360"/>
      </w:pPr>
    </w:lvl>
  </w:abstractNum>
  <w:num w:numId="1" w16cid:durableId="1913806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5E1"/>
    <w:rsid w:val="000302F1"/>
    <w:rsid w:val="00123864"/>
    <w:rsid w:val="002943C6"/>
    <w:rsid w:val="00304797"/>
    <w:rsid w:val="003271FC"/>
    <w:rsid w:val="00466A93"/>
    <w:rsid w:val="005D6146"/>
    <w:rsid w:val="00725C5E"/>
    <w:rsid w:val="00736E95"/>
    <w:rsid w:val="00771D83"/>
    <w:rsid w:val="0077571C"/>
    <w:rsid w:val="007964E2"/>
    <w:rsid w:val="007C7D34"/>
    <w:rsid w:val="00856122"/>
    <w:rsid w:val="00874E82"/>
    <w:rsid w:val="009A0234"/>
    <w:rsid w:val="00B805E1"/>
    <w:rsid w:val="00B82203"/>
    <w:rsid w:val="00C356F4"/>
    <w:rsid w:val="00C66298"/>
    <w:rsid w:val="00D131BF"/>
    <w:rsid w:val="00F61332"/>
    <w:rsid w:val="00FB24D6"/>
    <w:rsid w:val="00FB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1067"/>
  <w15:docId w15:val="{20F9F47E-EBC5-42A4-A2E3-AD06C3E7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4D7B"/>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6B201-E375-426B-87F1-E838F95D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2367</TotalTime>
  <Pages>72</Pages>
  <Words>22622</Words>
  <Characters>128947</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SALIM</cp:lastModifiedBy>
  <cp:revision>1</cp:revision>
  <dcterms:created xsi:type="dcterms:W3CDTF">2026-05-15T22:58:00Z</dcterms:created>
  <dcterms:modified xsi:type="dcterms:W3CDTF">2026-06-07T14:17:00Z</dcterms:modified>
</cp:coreProperties>
</file>