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Time-Manager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Delete Timeline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spacing w:before="480" w:lineRule="auto"/>
        <w:ind w:left="720" w:hanging="360"/>
        <w:contextualSpacing w:val="1"/>
        <w:rPr>
          <w:sz w:val="32"/>
          <w:szCs w:val="32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removing a timeline from the Time-Manager.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an already created timeline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Use-Case begins when the User access the timeline to delete.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“Delete Timeline”.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popup window asking to confirm delete shows to the User.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this case User always click “Ok”.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 is deleted and the User is redirected to the start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Use-Case.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2"/>
        </w:numPr>
        <w:pBdr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uqf87mg4munh" w:id="7"/>
      <w:bookmarkEnd w:id="7"/>
      <w:r w:rsidDel="00000000" w:rsidR="00000000" w:rsidRPr="00000000">
        <w:rPr>
          <w:color w:val="000000"/>
          <w:rtl w:val="0"/>
        </w:rPr>
        <w:t xml:space="preserve">Cancel Delete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4 the User clicks “Cancel”.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deletion of the timeline is canceled.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Use-Case is resumed at step 6.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successfully deleted a timeline.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successfully aborted deletion of a timeline.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Time-Manager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Delete Timeline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29-03-17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