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 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Personalized Time-line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personalizing a previously added event on the Timeline, such as changing colors,size and font.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User has created one or several Timelines and one or several Events which should be changed to the users liking.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eascvhr4th0f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Use-Case begins when the User accesses the Timeline-Manager, chooses the right timeline and clicks the event which is preferred to be personalized.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the “ Edit Timeline” button.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the “ Change Font” button or the “ Change Color” button.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Timeline Manager provides a sample of different fonts and the User can choose the prefered one.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ends when the Timeline is successfully updated in the right color and font.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ou71rzg4lt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ctokacjeloin" w:id="7"/>
      <w:bookmarkEnd w:id="7"/>
      <w:r w:rsidDel="00000000" w:rsidR="00000000" w:rsidRPr="00000000">
        <w:rPr>
          <w:rtl w:val="0"/>
        </w:rPr>
        <w:t xml:space="preserve">5.1 Change colors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2 of the basic flow the user choses to change the Color, then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the “Change Color” button.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Timeline Manager provides a sample of different colors and the User can choose the prefered one.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Use-Case resumes at step 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76" w:lineRule="auto"/>
        <w:ind w:left="1440" w:hanging="360"/>
        <w:contextualSpacing w:val="1"/>
      </w:pPr>
      <w:r w:rsidDel="00000000" w:rsidR="00000000" w:rsidRPr="00000000">
        <w:rPr>
          <w:rtl w:val="0"/>
        </w:rPr>
        <w:t xml:space="preserve">Successful condition - User has successfully loaded a personalized Timeline.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Personalized Timeline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3/04-2017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