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a69aece657a7d9bdcce95f06d609985240fa40"/>
    <w:p>
      <w:pPr>
        <w:pStyle w:val="Heading1"/>
      </w:pPr>
      <w:r>
        <w:t xml:space="preserve">Politique de rétention des données personnelles – EduTutor IA</w:t>
      </w:r>
    </w:p>
    <w:bookmarkStart w:id="20" w:name="Xdb5e6c5461e812d7416a31d4648877d45931d36"/>
    <w:p>
      <w:pPr>
        <w:pStyle w:val="Heading2"/>
      </w:pPr>
      <w:r>
        <w:t xml:space="preserve">Politique de conservation et de suppression des données (RGPD)</w:t>
      </w:r>
    </w:p>
    <w:p>
      <w:pPr>
        <w:pStyle w:val="FirstParagraph"/>
      </w:pPr>
      <w:r>
        <w:t xml:space="preserve">La plateforme</w:t>
      </w:r>
      <w:r>
        <w:t xml:space="preserve"> </w:t>
      </w:r>
      <w:r>
        <w:rPr>
          <w:b/>
          <w:bCs/>
        </w:rPr>
        <w:t xml:space="preserve">EduTutor IA</w:t>
      </w:r>
      <w:r>
        <w:t xml:space="preserve"> </w:t>
      </w:r>
      <w:r>
        <w:t xml:space="preserve">s’engage à traiter les données personnelles de ses utilisateurs conformément au</w:t>
      </w:r>
      <w:r>
        <w:t xml:space="preserve"> </w:t>
      </w:r>
      <w:r>
        <w:rPr>
          <w:b/>
          <w:bCs/>
        </w:rPr>
        <w:t xml:space="preserve">Règlement Général sur la Protection des Données (RGPD – Règlement (UE) 2016/679)</w:t>
      </w:r>
      <w:r>
        <w:t xml:space="preserve"> </w:t>
      </w:r>
      <w:r>
        <w:t xml:space="preserve">ainsi qu’aux recommandations de la CNIL. Les données sont conservées uniquement pendant la durée nécessaire aux finalités pour lesquelles elles sont collectées, puis supprimées ou anonymisées.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eb938096431179b3448ba68b05a0393ce6ad94"/>
    <w:p>
      <w:pPr>
        <w:pStyle w:val="Heading1"/>
      </w:pPr>
      <w:r>
        <w:t xml:space="preserve">1. Durée de conservation par type de données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616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de donnée</w:t>
            </w:r>
          </w:p>
        </w:tc>
        <w:tc>
          <w:tcPr/>
          <w:p>
            <w:pPr>
              <w:pStyle w:val="Compact"/>
            </w:pPr>
            <w:r>
              <w:t xml:space="preserve">Finalité</w:t>
            </w:r>
          </w:p>
        </w:tc>
        <w:tc>
          <w:tcPr/>
          <w:p>
            <w:pPr>
              <w:pStyle w:val="Compact"/>
            </w:pPr>
            <w:r>
              <w:t xml:space="preserve">Durée de conservation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Données du compte (nom, prénom, adresse e-mail, mot de passe chiffré, date de création, établissement)</w:t>
            </w:r>
          </w:p>
        </w:tc>
        <w:tc>
          <w:tcPr/>
          <w:p>
            <w:pPr>
              <w:pStyle w:val="Compact"/>
            </w:pPr>
            <w:r>
              <w:t xml:space="preserve">Gestion du compte utilisateur</w:t>
            </w:r>
          </w:p>
        </w:tc>
        <w:tc>
          <w:tcPr/>
          <w:p>
            <w:pPr>
              <w:pStyle w:val="Compact"/>
            </w:pPr>
            <w:r>
              <w:t xml:space="preserve">Pendant toute la durée du compte puis 3 ans après la dernière activité avant suppression automatique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 pédagogiques importés (PDF, cours, notes)</w:t>
            </w:r>
          </w:p>
        </w:tc>
        <w:tc>
          <w:tcPr/>
          <w:p>
            <w:pPr>
              <w:pStyle w:val="Compact"/>
            </w:pPr>
            <w:r>
              <w:t xml:space="preserve">Génération de quiz et assistance pédagogique</w:t>
            </w:r>
          </w:p>
        </w:tc>
        <w:tc>
          <w:tcPr/>
          <w:p>
            <w:pPr>
              <w:pStyle w:val="Compact"/>
            </w:pPr>
            <w:r>
              <w:t xml:space="preserve">Jusqu’à suppression par l’utilisateur ou suppression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générés par l’IA</w:t>
            </w:r>
          </w:p>
        </w:tc>
        <w:tc>
          <w:tcPr/>
          <w:p>
            <w:pPr>
              <w:pStyle w:val="Compact"/>
            </w:pPr>
            <w:r>
              <w:t xml:space="preserve">Suivi pédagogique et historique d’apprentissage</w:t>
            </w:r>
          </w:p>
        </w:tc>
        <w:tc>
          <w:tcPr/>
          <w:p>
            <w:pPr>
              <w:pStyle w:val="Compact"/>
            </w:pPr>
            <w:r>
              <w:t xml:space="preserve">Jusqu’à suppression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Réponses aux quiz et scores</w:t>
            </w:r>
          </w:p>
        </w:tc>
        <w:tc>
          <w:tcPr/>
          <w:p>
            <w:pPr>
              <w:pStyle w:val="Compact"/>
            </w:pPr>
            <w:r>
              <w:t xml:space="preserve">Suivi de la progression de l’utilisateur</w:t>
            </w:r>
          </w:p>
        </w:tc>
        <w:tc>
          <w:tcPr/>
          <w:p>
            <w:pPr>
              <w:pStyle w:val="Compact"/>
            </w:pPr>
            <w:r>
              <w:t xml:space="preserve">Jusqu’à suppression du compte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Signalements envoyés par l’utilisateur</w:t>
            </w:r>
          </w:p>
        </w:tc>
        <w:tc>
          <w:tcPr/>
          <w:p>
            <w:pPr>
              <w:pStyle w:val="Compact"/>
            </w:pPr>
            <w:r>
              <w:t xml:space="preserve">Traitement des abus et modération</w:t>
            </w:r>
          </w:p>
        </w:tc>
        <w:tc>
          <w:tcPr/>
          <w:p>
            <w:pPr>
              <w:pStyle w:val="Compact"/>
            </w:pPr>
            <w:r>
              <w:t xml:space="preserve">3 ans à compter du traitement du signalement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Journaux d’audit (logs de connexion, actions importantes, export RGPD, suppression de données)</w:t>
            </w:r>
          </w:p>
        </w:tc>
        <w:tc>
          <w:tcPr/>
          <w:p>
            <w:pPr>
              <w:pStyle w:val="Compact"/>
            </w:pPr>
            <w:r>
              <w:t xml:space="preserve">Sécurité, traçabilité et détection d’incidents</w:t>
            </w:r>
          </w:p>
        </w:tc>
        <w:tc>
          <w:tcPr/>
          <w:p>
            <w:pPr>
              <w:pStyle w:val="Compact"/>
            </w:pPr>
            <w:r>
              <w:t xml:space="preserve">12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techniques</w:t>
            </w:r>
          </w:p>
        </w:tc>
        <w:tc>
          <w:tcPr/>
          <w:p>
            <w:pPr>
              <w:pStyle w:val="Compact"/>
            </w:pPr>
            <w:r>
              <w:t xml:space="preserve">Fonctionnement de la plateforme</w:t>
            </w:r>
          </w:p>
        </w:tc>
        <w:tc>
          <w:tcPr/>
          <w:p>
            <w:pPr>
              <w:pStyle w:val="Compact"/>
            </w:pPr>
            <w:r>
              <w:t xml:space="preserve">Durée de la session ou 13 mois maximum selon leur 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Sauvegardes techniques</w:t>
            </w:r>
          </w:p>
        </w:tc>
        <w:tc>
          <w:tcPr/>
          <w:p>
            <w:pPr>
              <w:pStyle w:val="Compact"/>
            </w:pPr>
            <w:r>
              <w:t xml:space="preserve">Continuité d’activité et restauration après incident</w:t>
            </w:r>
          </w:p>
        </w:tc>
        <w:tc>
          <w:tcPr/>
          <w:p>
            <w:pPr>
              <w:pStyle w:val="Compact"/>
            </w:pPr>
            <w:r>
              <w:t xml:space="preserve">30 jours maximum avant écrasement automatique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base-légale-du-traitement"/>
    <w:p>
      <w:pPr>
        <w:pStyle w:val="Heading1"/>
      </w:pPr>
      <w:r>
        <w:t xml:space="preserve">2. Base légale du traitement</w:t>
      </w:r>
    </w:p>
    <w:p>
      <w:pPr>
        <w:pStyle w:val="FirstParagraph"/>
      </w:pPr>
      <w:r>
        <w:t xml:space="preserve">Les traitements réalisés par EduTutor IA reposent sur les bases légales prévues par l’article 6 du RGPD.</w:t>
      </w:r>
    </w:p>
    <w:bookmarkStart w:id="23" w:name="exécution-du-contrat-article-6.1.b"/>
    <w:p>
      <w:pPr>
        <w:pStyle w:val="Heading3"/>
      </w:pPr>
      <w:r>
        <w:t xml:space="preserve">Exécution du contrat (Article 6.1.b)</w:t>
      </w:r>
    </w:p>
    <w:p>
      <w:pPr>
        <w:pStyle w:val="FirstParagraph"/>
      </w:pPr>
      <w:r>
        <w:t xml:space="preserve">Cette base légale couvre l’ensemble des traitements nécessaires au fonctionnement du service :</w:t>
      </w:r>
    </w:p>
    <w:p>
      <w:pPr>
        <w:pStyle w:val="Compact"/>
        <w:numPr>
          <w:ilvl w:val="0"/>
          <w:numId w:val="1001"/>
        </w:numPr>
      </w:pPr>
      <w:r>
        <w:t xml:space="preserve">création et gestion du compte utilisateur ;</w:t>
      </w:r>
    </w:p>
    <w:p>
      <w:pPr>
        <w:pStyle w:val="Compact"/>
        <w:numPr>
          <w:ilvl w:val="0"/>
          <w:numId w:val="1001"/>
        </w:numPr>
      </w:pPr>
      <w:r>
        <w:t xml:space="preserve">authentification ;</w:t>
      </w:r>
    </w:p>
    <w:p>
      <w:pPr>
        <w:pStyle w:val="Compact"/>
        <w:numPr>
          <w:ilvl w:val="0"/>
          <w:numId w:val="1001"/>
        </w:numPr>
      </w:pPr>
      <w:r>
        <w:t xml:space="preserve">stockage des documents importés ;</w:t>
      </w:r>
    </w:p>
    <w:p>
      <w:pPr>
        <w:pStyle w:val="Compact"/>
        <w:numPr>
          <w:ilvl w:val="0"/>
          <w:numId w:val="1001"/>
        </w:numPr>
      </w:pPr>
      <w:r>
        <w:t xml:space="preserve">génération des quiz ;</w:t>
      </w:r>
    </w:p>
    <w:p>
      <w:pPr>
        <w:pStyle w:val="Compact"/>
        <w:numPr>
          <w:ilvl w:val="0"/>
          <w:numId w:val="1001"/>
        </w:numPr>
      </w:pPr>
      <w:r>
        <w:t xml:space="preserve">suivi des résultats et de la progression.</w:t>
      </w:r>
    </w:p>
    <w:p>
      <w:pPr>
        <w:pStyle w:val="FirstParagraph"/>
      </w:pPr>
      <w:r>
        <w:t xml:space="preserve">Sans ces traitements, la plateforme ne peut pas fournir les fonctionnalités attendues.</w:t>
      </w:r>
    </w:p>
    <w:bookmarkEnd w:id="23"/>
    <w:bookmarkStart w:id="24" w:name="consentement-article-6.1.a"/>
    <w:p>
      <w:pPr>
        <w:pStyle w:val="Heading3"/>
      </w:pPr>
      <w:r>
        <w:t xml:space="preserve">Consentement (Article 6.1.a)</w:t>
      </w:r>
    </w:p>
    <w:p>
      <w:pPr>
        <w:pStyle w:val="FirstParagraph"/>
      </w:pPr>
      <w:r>
        <w:t xml:space="preserve">Le consentement est demandé lorsque cela est nécessaire, notamment pour :</w:t>
      </w:r>
    </w:p>
    <w:p>
      <w:pPr>
        <w:pStyle w:val="Compact"/>
        <w:numPr>
          <w:ilvl w:val="0"/>
          <w:numId w:val="1002"/>
        </w:numPr>
      </w:pPr>
      <w:r>
        <w:t xml:space="preserve">les cookies non essentiels ;</w:t>
      </w:r>
    </w:p>
    <w:p>
      <w:pPr>
        <w:pStyle w:val="Compact"/>
        <w:numPr>
          <w:ilvl w:val="0"/>
          <w:numId w:val="1002"/>
        </w:numPr>
      </w:pPr>
      <w:r>
        <w:t xml:space="preserve">les communications facultatives ;</w:t>
      </w:r>
    </w:p>
    <w:p>
      <w:pPr>
        <w:pStyle w:val="Compact"/>
        <w:numPr>
          <w:ilvl w:val="0"/>
          <w:numId w:val="1002"/>
        </w:numPr>
      </w:pPr>
      <w:r>
        <w:t xml:space="preserve">certaines fonctionnalités expérimentales utilisant l’IA.</w:t>
      </w:r>
    </w:p>
    <w:p>
      <w:pPr>
        <w:pStyle w:val="FirstParagraph"/>
      </w:pPr>
      <w:r>
        <w:t xml:space="preserve">Le consentement peut être retiré à tout moment.</w:t>
      </w:r>
    </w:p>
    <w:bookmarkEnd w:id="24"/>
    <w:bookmarkStart w:id="25" w:name="intérêt-légitime-article-6.1.f"/>
    <w:p>
      <w:pPr>
        <w:pStyle w:val="Heading3"/>
      </w:pPr>
      <w:r>
        <w:t xml:space="preserve">Intérêt légitime (Article 6.1.f)</w:t>
      </w:r>
    </w:p>
    <w:p>
      <w:pPr>
        <w:pStyle w:val="FirstParagraph"/>
      </w:pPr>
      <w:r>
        <w:t xml:space="preserve">Certaines données sont conservées afin d’assurer :</w:t>
      </w:r>
    </w:p>
    <w:p>
      <w:pPr>
        <w:pStyle w:val="Compact"/>
        <w:numPr>
          <w:ilvl w:val="0"/>
          <w:numId w:val="1003"/>
        </w:numPr>
      </w:pPr>
      <w:r>
        <w:t xml:space="preserve">la sécurité de la plateforme ;</w:t>
      </w:r>
    </w:p>
    <w:p>
      <w:pPr>
        <w:pStyle w:val="Compact"/>
        <w:numPr>
          <w:ilvl w:val="0"/>
          <w:numId w:val="1003"/>
        </w:numPr>
      </w:pPr>
      <w:r>
        <w:t xml:space="preserve">la prévention de la fraude ;</w:t>
      </w:r>
    </w:p>
    <w:p>
      <w:pPr>
        <w:pStyle w:val="Compact"/>
        <w:numPr>
          <w:ilvl w:val="0"/>
          <w:numId w:val="1003"/>
        </w:numPr>
      </w:pPr>
      <w:r>
        <w:t xml:space="preserve">la journalisation des actions sensibles ;</w:t>
      </w:r>
    </w:p>
    <w:p>
      <w:pPr>
        <w:pStyle w:val="Compact"/>
        <w:numPr>
          <w:ilvl w:val="0"/>
          <w:numId w:val="1003"/>
        </w:numPr>
      </w:pPr>
      <w:r>
        <w:t xml:space="preserve">la résolution d’incidents techniques.</w:t>
      </w:r>
    </w:p>
    <w:p>
      <w:pPr>
        <w:pStyle w:val="FirstParagraph"/>
      </w:pPr>
      <w:r>
        <w:t xml:space="preserve">Cet intérêt légitime est mis en œuvre dans le respect des droits et libertés des utilisateurs.</w:t>
      </w:r>
    </w:p>
    <w:bookmarkEnd w:id="25"/>
    <w:bookmarkStart w:id="26" w:name="obligations-légales-article-6.1.c"/>
    <w:p>
      <w:pPr>
        <w:pStyle w:val="Heading3"/>
      </w:pPr>
      <w:r>
        <w:t xml:space="preserve">Obligations légales (Article 6.1.c)</w:t>
      </w:r>
    </w:p>
    <w:p>
      <w:pPr>
        <w:pStyle w:val="FirstParagraph"/>
      </w:pPr>
      <w:r>
        <w:t xml:space="preserve">Lorsque la loi l’impose, certaines informations peuvent être conservées afin de répondre à des obligations réglementaires ou à une demande d’une autorité compétente.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a2813c3b039e2ae3af55ec11f53033865ee968"/>
    <w:p>
      <w:pPr>
        <w:pStyle w:val="Heading1"/>
      </w:pPr>
      <w:r>
        <w:t xml:space="preserve">3. Modalités de suppression des données (Article 17 du RGPD)</w:t>
      </w:r>
    </w:p>
    <w:p>
      <w:pPr>
        <w:pStyle w:val="FirstParagraph"/>
      </w:pPr>
      <w:r>
        <w:t xml:space="preserve">Conformément à</w:t>
      </w:r>
      <w:r>
        <w:t xml:space="preserve"> </w:t>
      </w:r>
      <w:r>
        <w:rPr>
          <w:b/>
          <w:bCs/>
        </w:rPr>
        <w:t xml:space="preserve">l’article 17 du RGPD</w:t>
      </w:r>
      <w:r>
        <w:t xml:space="preserve">, tout utilisateur dispose d’un</w:t>
      </w:r>
      <w:r>
        <w:t xml:space="preserve"> </w:t>
      </w:r>
      <w:r>
        <w:rPr>
          <w:b/>
          <w:bCs/>
        </w:rPr>
        <w:t xml:space="preserve">droit à l’effacement</w:t>
      </w:r>
      <w:r>
        <w:t xml:space="preserve"> </w:t>
      </w:r>
      <w:r>
        <w:t xml:space="preserve">de ses données personnelles.</w:t>
      </w:r>
    </w:p>
    <w:p>
      <w:pPr>
        <w:pStyle w:val="BodyText"/>
      </w:pPr>
      <w:r>
        <w:t xml:space="preserve">L’utilisateur peut demander la suppression de son compte directement depuis son espace personnel ou en adressant une demande au responsable du traitement.</w:t>
      </w:r>
    </w:p>
    <w:p>
      <w:pPr>
        <w:pStyle w:val="BodyText"/>
      </w:pPr>
      <w:r>
        <w:t xml:space="preserve">Après validation de la demande :</w:t>
      </w:r>
    </w:p>
    <w:p>
      <w:pPr>
        <w:pStyle w:val="Compact"/>
        <w:numPr>
          <w:ilvl w:val="0"/>
          <w:numId w:val="1004"/>
        </w:numPr>
      </w:pPr>
      <w:r>
        <w:t xml:space="preserve">le compte utilisateur est supprimé ;</w:t>
      </w:r>
    </w:p>
    <w:p>
      <w:pPr>
        <w:pStyle w:val="Compact"/>
        <w:numPr>
          <w:ilvl w:val="0"/>
          <w:numId w:val="1004"/>
        </w:numPr>
      </w:pPr>
      <w:r>
        <w:t xml:space="preserve">les documents importés sont définitivement effacés ;</w:t>
      </w:r>
    </w:p>
    <w:p>
      <w:pPr>
        <w:pStyle w:val="Compact"/>
        <w:numPr>
          <w:ilvl w:val="0"/>
          <w:numId w:val="1004"/>
        </w:numPr>
      </w:pPr>
      <w:r>
        <w:t xml:space="preserve">les quiz générés ainsi que les réponses et scores sont supprimés ;</w:t>
      </w:r>
    </w:p>
    <w:p>
      <w:pPr>
        <w:pStyle w:val="Compact"/>
        <w:numPr>
          <w:ilvl w:val="0"/>
          <w:numId w:val="1004"/>
        </w:numPr>
      </w:pPr>
      <w:r>
        <w:t xml:space="preserve">les signalements associés sont supprimés lorsqu’aucune obligation légale ne justifie leur conservation ;</w:t>
      </w:r>
    </w:p>
    <w:p>
      <w:pPr>
        <w:pStyle w:val="Compact"/>
        <w:numPr>
          <w:ilvl w:val="0"/>
          <w:numId w:val="1004"/>
        </w:numPr>
      </w:pPr>
      <w:r>
        <w:t xml:space="preserve">les données présentes dans les sauvegardes disparaissent automatiquement lors du cycle normal d’écrasement (maximum 30 jours).</w:t>
      </w:r>
    </w:p>
    <w:p>
      <w:pPr>
        <w:pStyle w:val="FirstParagraph"/>
      </w:pPr>
      <w:r>
        <w:t xml:space="preserve">Les journaux d’audit nécessaires à la sécurité peuvent être conservés jusqu’à leur échéance lorsqu’ils sont indispensables à la constatation, à l’exercice ou à la défense d’un droit en justice.</w:t>
      </w:r>
    </w:p>
    <w:p>
      <w:pPr>
        <w:pStyle w:val="BodyText"/>
      </w:pPr>
      <w:r>
        <w:t xml:space="preserve">Une fois les délais légaux expirés, les données sont supprimées de manière définitive ou anonymisées afin qu’elles ne permettent plus d’identifier l’utilisateur.</w:t>
      </w:r>
    </w:p>
    <w:p>
      <w:r>
        <w:pict>
          <v:rect style="width:0;height:1.5pt" o:hralign="center" o:hrstd="t" o:hr="t"/>
        </w:pict>
      </w:r>
    </w:p>
    <w:bookmarkStart w:id="28" w:name="références-réglementaires"/>
    <w:p>
      <w:pPr>
        <w:pStyle w:val="Heading2"/>
      </w:pPr>
      <w:r>
        <w:t xml:space="preserve">Références réglementaires</w:t>
      </w:r>
    </w:p>
    <w:p>
      <w:pPr>
        <w:pStyle w:val="Compact"/>
        <w:numPr>
          <w:ilvl w:val="0"/>
          <w:numId w:val="1005"/>
        </w:numPr>
      </w:pPr>
      <w:r>
        <w:t xml:space="preserve">Règlement (UE) 2016/679 (RGPD)</w:t>
      </w:r>
    </w:p>
    <w:p>
      <w:pPr>
        <w:pStyle w:val="Compact"/>
        <w:numPr>
          <w:ilvl w:val="0"/>
          <w:numId w:val="1005"/>
        </w:numPr>
      </w:pPr>
      <w:r>
        <w:t xml:space="preserve">Article 5 : limitation de la conservation des données</w:t>
      </w:r>
    </w:p>
    <w:p>
      <w:pPr>
        <w:pStyle w:val="Compact"/>
        <w:numPr>
          <w:ilvl w:val="0"/>
          <w:numId w:val="1005"/>
        </w:numPr>
      </w:pPr>
      <w:r>
        <w:t xml:space="preserve">Article 6 : licéité du traitement</w:t>
      </w:r>
    </w:p>
    <w:p>
      <w:pPr>
        <w:pStyle w:val="Compact"/>
        <w:numPr>
          <w:ilvl w:val="0"/>
          <w:numId w:val="1005"/>
        </w:numPr>
      </w:pPr>
      <w:r>
        <w:t xml:space="preserve">Article 15 : droit d’accès</w:t>
      </w:r>
    </w:p>
    <w:p>
      <w:pPr>
        <w:pStyle w:val="Compact"/>
        <w:numPr>
          <w:ilvl w:val="0"/>
          <w:numId w:val="1005"/>
        </w:numPr>
      </w:pPr>
      <w:r>
        <w:t xml:space="preserve">Article 17 : droit à l’effacement</w:t>
      </w:r>
    </w:p>
    <w:p>
      <w:pPr>
        <w:pStyle w:val="Compact"/>
        <w:numPr>
          <w:ilvl w:val="0"/>
          <w:numId w:val="1005"/>
        </w:numPr>
      </w:pPr>
      <w:r>
        <w:t xml:space="preserve">Recommandations de la CNIL relatives à la conservation des données personnelles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2026-07-01T10:42:17Z</dcterms:created>
  <dcterms:modified xsi:type="dcterms:W3CDTF">2026-07-01T10:42:17Z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