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</w:t>
      </w:r>
      <w:r w:rsidR="00902039">
        <w:rPr>
          <w:b/>
        </w:rPr>
        <w:t>8</w:t>
      </w:r>
      <w:r w:rsidRPr="006E4BAB">
        <w:rPr>
          <w:b/>
        </w:rPr>
        <w:t xml:space="preserve"> Federal Employee Viewpoint Survey</w:t>
      </w:r>
    </w:p>
    <w:p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</w:t>
      </w:r>
      <w:r w:rsidR="00902039">
        <w:rPr>
          <w:u w:val="single"/>
        </w:rPr>
        <w:t>8</w:t>
      </w:r>
      <w:r w:rsidRPr="007620D2">
        <w:rPr>
          <w:u w:val="single"/>
        </w:rPr>
        <w:t>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RDF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</w:t>
      </w:r>
      <w:r w:rsidR="00902039">
        <w:t>8</w:t>
      </w:r>
      <w:r w:rsidR="006C4A6E">
        <w:t xml:space="preserve"> data file</w:t>
      </w:r>
    </w:p>
    <w:p w:rsidR="007620D2" w:rsidRDefault="007620D2" w:rsidP="006E4BAB">
      <w:pPr>
        <w:pStyle w:val="NoSpacing"/>
        <w:rPr>
          <w:b/>
        </w:rPr>
      </w:pP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372250">
      <w:pPr>
        <w:pStyle w:val="NoSpacing"/>
      </w:pPr>
    </w:p>
    <w:p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</w:t>
      </w:r>
      <w:r w:rsidR="00902039">
        <w:rPr>
          <w:b/>
        </w:rPr>
        <w:t>8</w:t>
      </w:r>
      <w:r>
        <w:rPr>
          <w:b/>
        </w:rPr>
        <w:t>?</w:t>
      </w:r>
    </w:p>
    <w:p w:rsidR="00FB1511" w:rsidRPr="00FB1511" w:rsidRDefault="00FB1511" w:rsidP="00902039">
      <w:pPr>
        <w:pStyle w:val="NoSpacing"/>
        <w:numPr>
          <w:ilvl w:val="0"/>
          <w:numId w:val="6"/>
        </w:numPr>
        <w:rPr>
          <w:b/>
        </w:rPr>
      </w:pPr>
      <w:r>
        <w:t>Three survey items had text changes.</w:t>
      </w:r>
    </w:p>
    <w:p w:rsidR="00372250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>
        <w:t>12 – changed “goals and priorities” to just “goals”</w:t>
      </w:r>
    </w:p>
    <w:p w:rsidR="00FB1511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>
        <w:t>29 – changed “</w:t>
      </w:r>
      <w:r w:rsidR="007F2D3F">
        <w:t xml:space="preserve">The </w:t>
      </w:r>
      <w:r>
        <w:t>workforce” to “</w:t>
      </w:r>
      <w:r w:rsidR="007F2D3F">
        <w:t xml:space="preserve">My </w:t>
      </w:r>
      <w:r>
        <w:t>work unit”</w:t>
      </w:r>
      <w:r w:rsidR="00502857">
        <w:t>*</w:t>
      </w:r>
    </w:p>
    <w:p w:rsidR="00372250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 w:rsidRPr="00FB1511">
        <w:t xml:space="preserve">56 – </w:t>
      </w:r>
      <w:r>
        <w:t>changed “goals and priorities” to just “goals”</w:t>
      </w:r>
    </w:p>
    <w:p w:rsidR="00FB1511" w:rsidRDefault="00FB1511" w:rsidP="00FB1511">
      <w:pPr>
        <w:pStyle w:val="NoSpacing"/>
      </w:pPr>
    </w:p>
    <w:p w:rsidR="00FB1511" w:rsidRDefault="00502857" w:rsidP="00FB1511">
      <w:pPr>
        <w:pStyle w:val="NoSpacing"/>
      </w:pPr>
      <w:r w:rsidRPr="00502857">
        <w:rPr>
          <w:i/>
        </w:rPr>
        <w:t>*A comparison between scores in 2017 and 2018</w:t>
      </w:r>
      <w:r>
        <w:rPr>
          <w:i/>
        </w:rPr>
        <w:t xml:space="preserve"> for item 29</w:t>
      </w:r>
      <w:r w:rsidRPr="00502857">
        <w:rPr>
          <w:i/>
        </w:rPr>
        <w:t xml:space="preserve"> show this change likely </w:t>
      </w:r>
      <w:r>
        <w:rPr>
          <w:i/>
        </w:rPr>
        <w:t xml:space="preserve">had </w:t>
      </w:r>
      <w:r w:rsidRPr="00502857">
        <w:rPr>
          <w:i/>
        </w:rPr>
        <w:t>such a substantial effect on how people interpret the question</w:t>
      </w:r>
      <w:r>
        <w:rPr>
          <w:i/>
        </w:rPr>
        <w:t xml:space="preserve"> that it can no longer be trended.</w:t>
      </w:r>
      <w:bookmarkStart w:id="0" w:name="_GoBack"/>
      <w:bookmarkEnd w:id="0"/>
    </w:p>
    <w:p w:rsidR="00FB1511" w:rsidRDefault="00FB1511" w:rsidP="00FB1511">
      <w:pPr>
        <w:pStyle w:val="NoSpacing"/>
        <w:rPr>
          <w:b/>
        </w:rPr>
      </w:pPr>
    </w:p>
    <w:p w:rsidR="00502857" w:rsidRPr="00FB1511" w:rsidRDefault="00502857" w:rsidP="00FB1511">
      <w:pPr>
        <w:pStyle w:val="NoSpacing"/>
        <w:rPr>
          <w:b/>
        </w:rPr>
      </w:pPr>
    </w:p>
    <w:p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:rsidR="006E4BAB" w:rsidRDefault="006E4BAB" w:rsidP="006E4BAB">
      <w:pPr>
        <w:pStyle w:val="NoSpacing"/>
      </w:pPr>
      <w:r>
        <w:t xml:space="preserve">The </w:t>
      </w:r>
      <w:r w:rsidR="000F7486">
        <w:t xml:space="preserve">public release data file (PRDF) </w:t>
      </w:r>
      <w:r w:rsidR="00657877">
        <w:t>is</w:t>
      </w:r>
      <w:r>
        <w:t xml:space="preserve"> broken down into four categories:</w:t>
      </w:r>
    </w:p>
    <w:p w:rsidR="006E4BAB" w:rsidRDefault="006E4BAB" w:rsidP="006E4BAB">
      <w:pPr>
        <w:pStyle w:val="NoSpacing"/>
      </w:pPr>
    </w:p>
    <w:p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includes </w:t>
      </w:r>
      <w:r w:rsidR="005C1B8A">
        <w:t>seven</w:t>
      </w:r>
      <w:r>
        <w:t xml:space="preserve"> demographics (sex, minority status, supervisory status, age, </w:t>
      </w:r>
      <w:r w:rsidR="005C1B8A">
        <w:t xml:space="preserve">education, federal tenure, </w:t>
      </w:r>
      <w:r>
        <w:t xml:space="preserve">and planning to leave)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Education Level (DEDUC):</w:t>
      </w:r>
      <w:r>
        <w:t xml:space="preserve"> Collapsed to three groups – Bachelors, above Bachelors, and below Bachelors.</w:t>
      </w:r>
    </w:p>
    <w:p w:rsidR="005C1B8A" w:rsidRP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Federal Tenure (DFEDTEN):</w:t>
      </w:r>
      <w:r>
        <w:t xml:space="preserve"> Non-military federal tenure ranges; 0-10 years, 10-20 years, and 20+ years.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 (DSUPER</w:t>
      </w:r>
      <w:r>
        <w:t>): Non-Supervisor/Team Leader and Supervisor/Manager/Executive.</w:t>
      </w:r>
    </w:p>
    <w:p w:rsidR="005C1B8A" w:rsidRDefault="006B305F" w:rsidP="005C1B8A">
      <w:pPr>
        <w:pStyle w:val="NoSpacing"/>
        <w:numPr>
          <w:ilvl w:val="1"/>
          <w:numId w:val="1"/>
        </w:numPr>
      </w:pPr>
      <w:r w:rsidRPr="005C1B8A">
        <w:rPr>
          <w:u w:val="single"/>
        </w:rPr>
        <w:t>Minority Status</w:t>
      </w:r>
      <w:r w:rsidR="005579D3" w:rsidRPr="005C1B8A">
        <w:rPr>
          <w:u w:val="single"/>
        </w:rPr>
        <w:t xml:space="preserve"> (DMINORITY):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</w:p>
    <w:p w:rsidR="006E4BAB" w:rsidRPr="006B305F" w:rsidRDefault="006B305F" w:rsidP="005C1B8A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(DLEAVING):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(POSTWT)</w:t>
      </w:r>
      <w:r>
        <w:t xml:space="preserve"> and a randomly generated ID number</w:t>
      </w:r>
      <w:r w:rsidR="005579D3">
        <w:t xml:space="preserve"> (RANDOMID)</w:t>
      </w:r>
      <w:r>
        <w:t>.</w:t>
      </w:r>
    </w:p>
    <w:p w:rsidR="000F7486" w:rsidRDefault="000F7486" w:rsidP="000F7486">
      <w:pPr>
        <w:pStyle w:val="NoSpacing"/>
      </w:pPr>
    </w:p>
    <w:p w:rsidR="00657877" w:rsidRDefault="00657877">
      <w:pPr>
        <w:rPr>
          <w:b/>
        </w:rPr>
      </w:pPr>
      <w:r>
        <w:rPr>
          <w:b/>
        </w:rPr>
        <w:br w:type="page"/>
      </w:r>
    </w:p>
    <w:p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:rsidR="00401A1A" w:rsidRDefault="00401A1A" w:rsidP="000F7486">
      <w:pPr>
        <w:pStyle w:val="NoSpacing"/>
      </w:pPr>
    </w:p>
    <w:p w:rsidR="00A65891" w:rsidRDefault="00AE11CC" w:rsidP="000F7486">
      <w:pPr>
        <w:pStyle w:val="NoSpacing"/>
      </w:pPr>
      <w:r>
        <w:t>Starting in</w:t>
      </w:r>
      <w:r w:rsidR="000F7486">
        <w:t xml:space="preserve"> 2016</w:t>
      </w:r>
      <w:r>
        <w:t>, the FEVS PRDF</w:t>
      </w:r>
      <w:r w:rsidR="000F7486">
        <w:t xml:space="preserve"> uses a </w:t>
      </w:r>
      <w:r w:rsidR="00413647">
        <w:t>new</w:t>
      </w:r>
      <w:r w:rsidR="000F7486"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 w:rsidR="000F7486"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:rsidR="00A65891" w:rsidRDefault="00A65891" w:rsidP="000F7486">
      <w:pPr>
        <w:pStyle w:val="NoSpacing"/>
      </w:pPr>
    </w:p>
    <w:p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:rsidR="008069AA" w:rsidRDefault="008069AA" w:rsidP="00372250">
      <w:pPr>
        <w:pStyle w:val="NoSpacing"/>
      </w:pPr>
    </w:p>
    <w:p w:rsidR="008069AA" w:rsidRDefault="008069AA" w:rsidP="00372250">
      <w:pPr>
        <w:pStyle w:val="NoSpacing"/>
      </w:pPr>
    </w:p>
    <w:p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:rsidR="00610BBF" w:rsidRDefault="00610BBF" w:rsidP="00372250">
      <w:pPr>
        <w:pStyle w:val="NoSpacing"/>
      </w:pPr>
    </w:p>
    <w:p w:rsidR="008069AA" w:rsidRDefault="008069AA" w:rsidP="00372250">
      <w:pPr>
        <w:pStyle w:val="NoSpacing"/>
      </w:pPr>
    </w:p>
    <w:p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>. 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 xml:space="preserve">, such as combining the original </w:t>
      </w:r>
      <w:r w:rsidR="00281CEF">
        <w:t>supervisory status</w:t>
      </w:r>
      <w:r>
        <w:t xml:space="preserve"> categories into a </w:t>
      </w:r>
      <w:r w:rsidR="00281CEF">
        <w:t>more simplified Non-supervisor/Supervisor-type response.</w:t>
      </w:r>
    </w:p>
    <w:p w:rsidR="00610BBF" w:rsidRDefault="00610BBF" w:rsidP="00CB08B1">
      <w:pPr>
        <w:pStyle w:val="NoSpacing"/>
      </w:pPr>
    </w:p>
    <w:p w:rsidR="008069AA" w:rsidRDefault="008069AA" w:rsidP="00CB08B1">
      <w:pPr>
        <w:pStyle w:val="NoSpacing"/>
      </w:pPr>
    </w:p>
    <w:p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:rsidTr="00610BBF">
        <w:trPr>
          <w:jc w:val="center"/>
        </w:trPr>
        <w:tc>
          <w:tcPr>
            <w:tcW w:w="0" w:type="auto"/>
            <w:gridSpan w:val="3"/>
          </w:tcPr>
          <w:p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281CEF" w:rsidP="005B6B25">
            <w:pPr>
              <w:pStyle w:val="NoSpacing"/>
            </w:pPr>
            <w:r>
              <w:t>EDUCATION</w:t>
            </w:r>
          </w:p>
        </w:tc>
        <w:tc>
          <w:tcPr>
            <w:tcW w:w="0" w:type="auto"/>
          </w:tcPr>
          <w:p w:rsidR="000628E3" w:rsidRDefault="000628E3" w:rsidP="00281CEF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 xml:space="preserve">) </w:t>
            </w:r>
            <w:r w:rsidR="00281CEF">
              <w:t>Bachelor’s Degree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</w:tbl>
    <w:p w:rsidR="005B6B25" w:rsidRDefault="005B6B25" w:rsidP="00CB08B1">
      <w:pPr>
        <w:pStyle w:val="NoSpacing"/>
      </w:pPr>
    </w:p>
    <w:p w:rsidR="00CB08B1" w:rsidRDefault="00610BBF" w:rsidP="00610BBF">
      <w:pPr>
        <w:pStyle w:val="NoSpacing"/>
      </w:pPr>
      <w:r>
        <w:t xml:space="preserve">Everyone in the same work unit who has a profile of </w:t>
      </w:r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:rsidR="00BA685E" w:rsidRDefault="00BA685E" w:rsidP="00CB08B1">
      <w:pPr>
        <w:pStyle w:val="NoSpacing"/>
      </w:pPr>
    </w:p>
    <w:p w:rsidR="00610BBF" w:rsidRDefault="00610BBF" w:rsidP="00CB08B1">
      <w:pPr>
        <w:pStyle w:val="NoSpacing"/>
      </w:pPr>
    </w:p>
    <w:p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:rsidR="00372250" w:rsidRDefault="00372250" w:rsidP="00CB08B1">
      <w:pPr>
        <w:pStyle w:val="NoSpacing"/>
      </w:pPr>
    </w:p>
    <w:p w:rsidR="00671CB2" w:rsidRDefault="00671CB2" w:rsidP="00CB08B1">
      <w:pPr>
        <w:pStyle w:val="NoSpacing"/>
        <w:rPr>
          <w:i/>
          <w:sz w:val="18"/>
        </w:rPr>
      </w:pPr>
    </w:p>
    <w:p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:rsidR="00CB08B1" w:rsidRDefault="00CB08B1">
      <w:r>
        <w:br w:type="page"/>
      </w:r>
    </w:p>
    <w:p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:rsidR="005B6B25" w:rsidRDefault="005B6B25" w:rsidP="00657877">
      <w:pPr>
        <w:pStyle w:val="NoSpacing"/>
      </w:pPr>
    </w:p>
    <w:p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(AAAA), changing the fourth “A” value to the “X” value matches the sequence of the AAAX cell which is not at-risk. Everyone in cell AAAA will be reassigned to cell AAAX at the end of this pass through the data. For the at-risk cells ABAB and BABA, a single substitution will not move either into a not-at-risk cell, so not treatment is applied.</w:t>
      </w:r>
    </w:p>
    <w:p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:rsidTr="00671CB2">
        <w:tc>
          <w:tcPr>
            <w:tcW w:w="6059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AAAA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AAXA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2102" w:type="dxa"/>
            <w:shd w:val="clear" w:color="auto" w:fill="00B0F0"/>
          </w:tcPr>
          <w:p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AAAX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ABAX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BABX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:rsidR="00657877" w:rsidRDefault="00657877" w:rsidP="00657877">
      <w:pPr>
        <w:pStyle w:val="NoSpacing"/>
      </w:pPr>
    </w:p>
    <w:p w:rsidR="00671CB2" w:rsidRDefault="00671CB2" w:rsidP="00671CB2">
      <w:pPr>
        <w:pStyle w:val="NoSpacing"/>
      </w:pPr>
    </w:p>
    <w:p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ABAB will allow them to be merged with the cell </w:t>
      </w:r>
      <w:r>
        <w:t>AXXB</w:t>
      </w:r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AAAX’s count went from 13 to 16 because </w:t>
      </w:r>
      <w:r w:rsidR="00BE0B6C">
        <w:t>the 3</w:t>
      </w:r>
      <w:r>
        <w:t xml:space="preserve"> people who formerly had AAAA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AAAX in the first pass.</w:t>
      </w:r>
    </w:p>
    <w:p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:rsidTr="00431636">
        <w:tc>
          <w:tcPr>
            <w:tcW w:w="0" w:type="auto"/>
            <w:gridSpan w:val="9"/>
          </w:tcPr>
          <w:p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XBAX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ABXX</w:t>
            </w:r>
          </w:p>
        </w:tc>
        <w:tc>
          <w:tcPr>
            <w:tcW w:w="0" w:type="auto"/>
            <w:shd w:val="clear" w:color="auto" w:fill="00B0F0"/>
          </w:tcPr>
          <w:p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r w:rsidRPr="004D2BFC">
              <w:rPr>
                <w:b/>
              </w:rPr>
              <w:t>AXXB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:rsidTr="005B6B25">
        <w:tc>
          <w:tcPr>
            <w:tcW w:w="5597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:rsidTr="005B6B25"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BXXX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XAXX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XXBX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XXXA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:rsidTr="00787AE2">
        <w:tc>
          <w:tcPr>
            <w:tcW w:w="0" w:type="auto"/>
            <w:gridSpan w:val="3"/>
          </w:tcPr>
          <w:p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:rsidTr="00F0277C"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</w:tr>
      <w:tr w:rsidR="00B30DEA" w:rsidTr="004D2BFC"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XXXX</w:t>
            </w:r>
          </w:p>
        </w:tc>
      </w:tr>
    </w:tbl>
    <w:p w:rsidR="00B30DEA" w:rsidRDefault="00B30DEA" w:rsidP="00B30DEA">
      <w:pPr>
        <w:pStyle w:val="NoSpacing"/>
      </w:pPr>
    </w:p>
    <w:p w:rsidR="00205E4B" w:rsidRDefault="00205E4B" w:rsidP="00B30DEA">
      <w:pPr>
        <w:pStyle w:val="NoSpacing"/>
      </w:pPr>
    </w:p>
    <w:p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E3D1A"/>
    <w:rsid w:val="000F7486"/>
    <w:rsid w:val="00193F53"/>
    <w:rsid w:val="001C6640"/>
    <w:rsid w:val="001C6D43"/>
    <w:rsid w:val="00205E4B"/>
    <w:rsid w:val="00232655"/>
    <w:rsid w:val="00281CEF"/>
    <w:rsid w:val="00304A18"/>
    <w:rsid w:val="00372250"/>
    <w:rsid w:val="00401A1A"/>
    <w:rsid w:val="00413647"/>
    <w:rsid w:val="004D2BFC"/>
    <w:rsid w:val="00502857"/>
    <w:rsid w:val="005579D3"/>
    <w:rsid w:val="005B6B25"/>
    <w:rsid w:val="005C1B8A"/>
    <w:rsid w:val="005F1788"/>
    <w:rsid w:val="00610BBF"/>
    <w:rsid w:val="00657877"/>
    <w:rsid w:val="00671CB2"/>
    <w:rsid w:val="006B305F"/>
    <w:rsid w:val="006C4A6E"/>
    <w:rsid w:val="006E4BAB"/>
    <w:rsid w:val="006E594D"/>
    <w:rsid w:val="007620D2"/>
    <w:rsid w:val="00763369"/>
    <w:rsid w:val="007B160B"/>
    <w:rsid w:val="007F2D3F"/>
    <w:rsid w:val="008069AA"/>
    <w:rsid w:val="00835B06"/>
    <w:rsid w:val="00902039"/>
    <w:rsid w:val="00A65891"/>
    <w:rsid w:val="00AA62A2"/>
    <w:rsid w:val="00AB398D"/>
    <w:rsid w:val="00AE11CC"/>
    <w:rsid w:val="00AE3244"/>
    <w:rsid w:val="00B30DEA"/>
    <w:rsid w:val="00BA685E"/>
    <w:rsid w:val="00BE0B6C"/>
    <w:rsid w:val="00C24309"/>
    <w:rsid w:val="00CB08B1"/>
    <w:rsid w:val="00D51787"/>
    <w:rsid w:val="00DB230A"/>
    <w:rsid w:val="00E17E09"/>
    <w:rsid w:val="00E7646F"/>
    <w:rsid w:val="00FB1511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6DEB8-B809-44B3-ACAD-9CD97D1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79485-7B62-45AD-B355-25592CBD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24</cp:revision>
  <dcterms:created xsi:type="dcterms:W3CDTF">2017-08-30T12:01:00Z</dcterms:created>
  <dcterms:modified xsi:type="dcterms:W3CDTF">2018-09-27T15:28:00Z</dcterms:modified>
</cp:coreProperties>
</file>