
<file path=[Content_Types].xml><?xml version="1.0" encoding="utf-8"?>
<Types xmlns="http://schemas.openxmlformats.org/package/2006/content-types">
  <Default Extension="xml" ContentType="application/xml"/>
  <Default Extension="jpeg" ContentType="image/jpeg"/>
  <Default Extension="tif" ContentType="image/tiff"/>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DB6839" w14:textId="77777777" w:rsidR="00064505" w:rsidRPr="00474235" w:rsidRDefault="00DD4571" w:rsidP="00064505">
      <w:pPr>
        <w:rPr>
          <w:sz w:val="22"/>
          <w:szCs w:val="22"/>
        </w:rPr>
      </w:pPr>
      <w:r w:rsidRPr="00474235">
        <w:rPr>
          <w:sz w:val="22"/>
          <w:szCs w:val="22"/>
        </w:rPr>
        <w:t>Introduction:</w:t>
      </w:r>
      <w:r w:rsidR="00064505" w:rsidRPr="00474235">
        <w:rPr>
          <w:sz w:val="22"/>
          <w:szCs w:val="22"/>
        </w:rPr>
        <w:t xml:space="preserve"> </w:t>
      </w:r>
    </w:p>
    <w:p w14:paraId="383A571B" w14:textId="61EFEC6D" w:rsidR="00064505" w:rsidRPr="00474235" w:rsidRDefault="00064505" w:rsidP="00064505">
      <w:pPr>
        <w:ind w:firstLine="720"/>
        <w:rPr>
          <w:sz w:val="22"/>
          <w:szCs w:val="22"/>
        </w:rPr>
      </w:pPr>
      <w:r w:rsidRPr="00474235">
        <w:rPr>
          <w:sz w:val="22"/>
          <w:szCs w:val="22"/>
        </w:rPr>
        <w:t>Epigenetic modifications influence gene expression and can change throughout the life of an organism, making them likely mechanisms for mediating phenotypic plasticity. Perhaps the best studied epigenetic modification is DNA methylation, referring to the covalent addition of methyl groups to DNA bases, most often the 5’ carbon of cytosine. Here we investigate whether a particular type of DNA methylation, gene body methylation (GBM), is involved phenotypic plasticity of a reef-building coral.</w:t>
      </w:r>
    </w:p>
    <w:p w14:paraId="76BE820E" w14:textId="14C20CF2" w:rsidR="00852DD8" w:rsidRDefault="00852DD8" w:rsidP="00F36850">
      <w:pPr>
        <w:ind w:firstLine="720"/>
        <w:rPr>
          <w:sz w:val="22"/>
          <w:szCs w:val="22"/>
        </w:rPr>
      </w:pPr>
    </w:p>
    <w:p w14:paraId="312C7F26" w14:textId="687804E2" w:rsidR="00F36850" w:rsidRPr="00474235" w:rsidRDefault="00064505" w:rsidP="00F36850">
      <w:pPr>
        <w:ind w:firstLine="720"/>
        <w:rPr>
          <w:sz w:val="22"/>
          <w:szCs w:val="22"/>
        </w:rPr>
      </w:pPr>
      <w:r w:rsidRPr="00474235">
        <w:rPr>
          <w:sz w:val="22"/>
          <w:szCs w:val="22"/>
        </w:rPr>
        <w:t xml:space="preserve">Fifteen colonies of the coral </w:t>
      </w:r>
      <w:r w:rsidRPr="00474235">
        <w:rPr>
          <w:i/>
          <w:sz w:val="22"/>
          <w:szCs w:val="22"/>
        </w:rPr>
        <w:t>Acropora millepora</w:t>
      </w:r>
      <w:r w:rsidRPr="00474235">
        <w:rPr>
          <w:sz w:val="22"/>
          <w:szCs w:val="22"/>
        </w:rPr>
        <w:t xml:space="preserve"> were divided in two and reciprocally transplanted between environmentally distinct sites in the Great Barrier Reef: a warmer site</w:t>
      </w:r>
      <w:r w:rsidR="0058313B">
        <w:rPr>
          <w:sz w:val="22"/>
          <w:szCs w:val="22"/>
        </w:rPr>
        <w:t>,</w:t>
      </w:r>
      <w:r w:rsidRPr="00474235">
        <w:rPr>
          <w:sz w:val="22"/>
          <w:szCs w:val="22"/>
        </w:rPr>
        <w:t xml:space="preserve"> Orpheus, and a cooler site</w:t>
      </w:r>
      <w:r w:rsidR="0058313B">
        <w:rPr>
          <w:sz w:val="22"/>
          <w:szCs w:val="22"/>
        </w:rPr>
        <w:t>,</w:t>
      </w:r>
      <w:r w:rsidRPr="00474235">
        <w:rPr>
          <w:sz w:val="22"/>
          <w:szCs w:val="22"/>
        </w:rPr>
        <w:t xml:space="preserve"> Keppel</w:t>
      </w:r>
      <w:r w:rsidR="0058313B">
        <w:rPr>
          <w:sz w:val="22"/>
          <w:szCs w:val="22"/>
        </w:rPr>
        <w:t>,</w:t>
      </w:r>
      <w:r w:rsidR="00295259" w:rsidRPr="00474235">
        <w:rPr>
          <w:sz w:val="22"/>
          <w:szCs w:val="22"/>
        </w:rPr>
        <w:t xml:space="preserve"> for three months</w:t>
      </w:r>
      <w:r w:rsidRPr="00474235">
        <w:rPr>
          <w:sz w:val="22"/>
          <w:szCs w:val="22"/>
        </w:rPr>
        <w:t xml:space="preserve"> (fig1 A-B). </w:t>
      </w:r>
      <w:r w:rsidR="00295259" w:rsidRPr="00474235">
        <w:rPr>
          <w:sz w:val="22"/>
          <w:szCs w:val="22"/>
        </w:rPr>
        <w:t>After three months, tissues were collected and assayed for gene expression</w:t>
      </w:r>
      <w:r w:rsidR="000E4B87">
        <w:rPr>
          <w:sz w:val="22"/>
          <w:szCs w:val="22"/>
        </w:rPr>
        <w:t xml:space="preserve"> (GE)</w:t>
      </w:r>
      <w:r w:rsidR="00295259" w:rsidRPr="00474235">
        <w:rPr>
          <w:sz w:val="22"/>
          <w:szCs w:val="22"/>
        </w:rPr>
        <w:t xml:space="preserve"> using Tag-</w:t>
      </w:r>
      <w:proofErr w:type="spellStart"/>
      <w:r w:rsidR="00295259" w:rsidRPr="00474235">
        <w:rPr>
          <w:sz w:val="22"/>
          <w:szCs w:val="22"/>
        </w:rPr>
        <w:t>seq</w:t>
      </w:r>
      <w:proofErr w:type="spellEnd"/>
      <w:r w:rsidR="00295259" w:rsidRPr="00474235">
        <w:rPr>
          <w:sz w:val="22"/>
          <w:szCs w:val="22"/>
        </w:rPr>
        <w:t xml:space="preserve"> and GBM using MBD-</w:t>
      </w:r>
      <w:proofErr w:type="spellStart"/>
      <w:r w:rsidR="00295259" w:rsidRPr="00474235">
        <w:rPr>
          <w:sz w:val="22"/>
          <w:szCs w:val="22"/>
        </w:rPr>
        <w:t>seq</w:t>
      </w:r>
      <w:proofErr w:type="spellEnd"/>
      <w:r w:rsidR="00295259" w:rsidRPr="00474235">
        <w:rPr>
          <w:sz w:val="22"/>
          <w:szCs w:val="22"/>
        </w:rPr>
        <w:t xml:space="preserve"> (fig1 C).</w:t>
      </w:r>
      <w:r w:rsidR="00F36850" w:rsidRPr="00474235">
        <w:rPr>
          <w:sz w:val="22"/>
          <w:szCs w:val="22"/>
        </w:rPr>
        <w:t xml:space="preserve"> Reads from the MBD-</w:t>
      </w:r>
      <w:proofErr w:type="spellStart"/>
      <w:r w:rsidR="00F36850" w:rsidRPr="00474235">
        <w:rPr>
          <w:sz w:val="22"/>
          <w:szCs w:val="22"/>
        </w:rPr>
        <w:t>seq</w:t>
      </w:r>
      <w:proofErr w:type="spellEnd"/>
      <w:r w:rsidR="00F36850" w:rsidRPr="00474235">
        <w:rPr>
          <w:sz w:val="22"/>
          <w:szCs w:val="22"/>
        </w:rPr>
        <w:t xml:space="preserve"> data were also used to call SNPs for each genotype.</w:t>
      </w:r>
    </w:p>
    <w:p w14:paraId="22000B4E" w14:textId="5F604A0F" w:rsidR="00852DD8" w:rsidRDefault="0058313B" w:rsidP="00C215AB">
      <w:pPr>
        <w:ind w:firstLine="720"/>
        <w:rPr>
          <w:sz w:val="22"/>
          <w:szCs w:val="22"/>
        </w:rPr>
      </w:pPr>
      <w:r w:rsidRPr="00474235">
        <w:rPr>
          <w:noProof/>
          <w:sz w:val="22"/>
          <w:szCs w:val="22"/>
        </w:rPr>
        <mc:AlternateContent>
          <mc:Choice Requires="wps">
            <w:drawing>
              <wp:anchor distT="0" distB="0" distL="114300" distR="114300" simplePos="0" relativeHeight="251665408" behindDoc="0" locked="0" layoutInCell="1" allowOverlap="1" wp14:anchorId="20CFFBA4" wp14:editId="2ABEF65A">
                <wp:simplePos x="0" y="0"/>
                <wp:positionH relativeFrom="column">
                  <wp:posOffset>393700</wp:posOffset>
                </wp:positionH>
                <wp:positionV relativeFrom="paragraph">
                  <wp:posOffset>183515</wp:posOffset>
                </wp:positionV>
                <wp:extent cx="5945505" cy="2513330"/>
                <wp:effectExtent l="0" t="0" r="23495" b="26670"/>
                <wp:wrapTopAndBottom/>
                <wp:docPr id="9" name="Text Box 9"/>
                <wp:cNvGraphicFramePr/>
                <a:graphic xmlns:a="http://schemas.openxmlformats.org/drawingml/2006/main">
                  <a:graphicData uri="http://schemas.microsoft.com/office/word/2010/wordprocessingShape">
                    <wps:wsp>
                      <wps:cNvSpPr txBox="1"/>
                      <wps:spPr>
                        <a:xfrm>
                          <a:off x="0" y="0"/>
                          <a:ext cx="5945505" cy="251333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451C0CC3" w14:textId="77777777" w:rsidR="00E32D73" w:rsidRDefault="00E32D73">
                            <w:r>
                              <w:rPr>
                                <w:noProof/>
                              </w:rPr>
                              <w:drawing>
                                <wp:inline distT="0" distB="0" distL="0" distR="0" wp14:anchorId="0EA6C934" wp14:editId="7F1AFA5F">
                                  <wp:extent cx="5701521" cy="1897708"/>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1.tif"/>
                                          <pic:cNvPicPr/>
                                        </pic:nvPicPr>
                                        <pic:blipFill rotWithShape="1">
                                          <a:blip r:embed="rId4">
                                            <a:extLst>
                                              <a:ext uri="{28A0092B-C50C-407E-A947-70E740481C1C}">
                                                <a14:useLocalDpi xmlns:a14="http://schemas.microsoft.com/office/drawing/2010/main" val="0"/>
                                              </a:ext>
                                            </a:extLst>
                                          </a:blip>
                                          <a:srcRect b="51010"/>
                                          <a:stretch/>
                                        </pic:blipFill>
                                        <pic:spPr bwMode="auto">
                                          <a:xfrm>
                                            <a:off x="0" y="0"/>
                                            <a:ext cx="5894135" cy="1961818"/>
                                          </a:xfrm>
                                          <a:prstGeom prst="rect">
                                            <a:avLst/>
                                          </a:prstGeom>
                                          <a:ln>
                                            <a:noFill/>
                                          </a:ln>
                                          <a:extLst>
                                            <a:ext uri="{53640926-AAD7-44D8-BBD7-CCE9431645EC}">
                                              <a14:shadowObscured xmlns:a14="http://schemas.microsoft.com/office/drawing/2010/main"/>
                                            </a:ext>
                                          </a:extLst>
                                        </pic:spPr>
                                      </pic:pic>
                                    </a:graphicData>
                                  </a:graphic>
                                </wp:inline>
                              </w:drawing>
                            </w:r>
                          </w:p>
                          <w:p w14:paraId="602275CC" w14:textId="6DE4CCE7" w:rsidR="00E32D73" w:rsidRPr="00E32D73" w:rsidRDefault="00E32D73" w:rsidP="00E32D73">
                            <w:pPr>
                              <w:pStyle w:val="Caption"/>
                              <w:rPr>
                                <w:i w:val="0"/>
                                <w:noProof/>
                                <w:color w:val="000000" w:themeColor="text1"/>
                                <w:sz w:val="21"/>
                              </w:rPr>
                            </w:pPr>
                            <w:r w:rsidRPr="00E32D73">
                              <w:rPr>
                                <w:i w:val="0"/>
                                <w:color w:val="000000" w:themeColor="text1"/>
                                <w:sz w:val="21"/>
                              </w:rPr>
                              <w:t xml:space="preserve">Figure </w:t>
                            </w:r>
                            <w:r w:rsidRPr="00E32D73">
                              <w:rPr>
                                <w:i w:val="0"/>
                                <w:color w:val="000000" w:themeColor="text1"/>
                                <w:sz w:val="21"/>
                              </w:rPr>
                              <w:fldChar w:fldCharType="begin"/>
                            </w:r>
                            <w:r w:rsidRPr="00E32D73">
                              <w:rPr>
                                <w:i w:val="0"/>
                                <w:color w:val="000000" w:themeColor="text1"/>
                                <w:sz w:val="21"/>
                              </w:rPr>
                              <w:instrText xml:space="preserve"> SEQ Figure \* ARABIC </w:instrText>
                            </w:r>
                            <w:r w:rsidRPr="00E32D73">
                              <w:rPr>
                                <w:i w:val="0"/>
                                <w:color w:val="000000" w:themeColor="text1"/>
                                <w:sz w:val="21"/>
                              </w:rPr>
                              <w:fldChar w:fldCharType="separate"/>
                            </w:r>
                            <w:r w:rsidRPr="00E32D73">
                              <w:rPr>
                                <w:i w:val="0"/>
                                <w:noProof/>
                                <w:color w:val="000000" w:themeColor="text1"/>
                                <w:sz w:val="21"/>
                              </w:rPr>
                              <w:t>1</w:t>
                            </w:r>
                            <w:r w:rsidRPr="00E32D73">
                              <w:rPr>
                                <w:i w:val="0"/>
                                <w:color w:val="000000" w:themeColor="text1"/>
                                <w:sz w:val="21"/>
                              </w:rPr>
                              <w:fldChar w:fldCharType="end"/>
                            </w:r>
                            <w:r w:rsidRPr="00E32D73">
                              <w:rPr>
                                <w:i w:val="0"/>
                                <w:color w:val="000000" w:themeColor="text1"/>
                                <w:sz w:val="21"/>
                              </w:rPr>
                              <w:t>: Experimental summary. (A) Location of experiment where colonies were reciprocally transplanted between two reefs: Orpheus (red) and Keppel (blue). (B) The two sites differ in temperature. (C) Sample sizes for gene</w:t>
                            </w:r>
                            <w:r w:rsidR="002162A9">
                              <w:rPr>
                                <w:i w:val="0"/>
                                <w:color w:val="000000" w:themeColor="text1"/>
                                <w:sz w:val="21"/>
                              </w:rPr>
                              <w:t xml:space="preserve"> </w:t>
                            </w:r>
                            <w:r w:rsidRPr="00E32D73">
                              <w:rPr>
                                <w:i w:val="0"/>
                                <w:color w:val="000000" w:themeColor="text1"/>
                                <w:sz w:val="21"/>
                              </w:rPr>
                              <w:t>expression assays (Tag-</w:t>
                            </w:r>
                            <w:proofErr w:type="spellStart"/>
                            <w:r w:rsidRPr="00E32D73">
                              <w:rPr>
                                <w:i w:val="0"/>
                                <w:color w:val="000000" w:themeColor="text1"/>
                                <w:sz w:val="21"/>
                              </w:rPr>
                              <w:t>seq</w:t>
                            </w:r>
                            <w:proofErr w:type="spellEnd"/>
                            <w:r w:rsidRPr="00E32D73">
                              <w:rPr>
                                <w:i w:val="0"/>
                                <w:color w:val="000000" w:themeColor="text1"/>
                                <w:sz w:val="21"/>
                              </w:rPr>
                              <w:t>) and methylation assays (MBD-</w:t>
                            </w:r>
                            <w:proofErr w:type="spellStart"/>
                            <w:r w:rsidRPr="00E32D73">
                              <w:rPr>
                                <w:i w:val="0"/>
                                <w:color w:val="000000" w:themeColor="text1"/>
                                <w:sz w:val="21"/>
                              </w:rPr>
                              <w:t>seq</w:t>
                            </w:r>
                            <w:proofErr w:type="spellEnd"/>
                            <w:r w:rsidRPr="00E32D73">
                              <w:rPr>
                                <w:i w:val="0"/>
                                <w:color w:val="000000" w:themeColor="text1"/>
                                <w:sz w:val="21"/>
                              </w:rPr>
                              <w:t>)</w:t>
                            </w:r>
                            <w:r w:rsidR="007A589D">
                              <w:rPr>
                                <w:i w:val="0"/>
                                <w:color w:val="000000" w:themeColor="text1"/>
                                <w:sz w:val="21"/>
                              </w:rPr>
                              <w:t>.</w:t>
                            </w:r>
                          </w:p>
                          <w:p w14:paraId="250DEE99" w14:textId="77777777" w:rsidR="00E32D73" w:rsidRDefault="00E32D7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CFFBA4" id="_x0000_t202" coordsize="21600,21600" o:spt="202" path="m0,0l0,21600,21600,21600,21600,0xe">
                <v:stroke joinstyle="miter"/>
                <v:path gradientshapeok="t" o:connecttype="rect"/>
              </v:shapetype>
              <v:shape id="Text Box 9" o:spid="_x0000_s1026" type="#_x0000_t202" style="position:absolute;left:0;text-align:left;margin-left:31pt;margin-top:14.45pt;width:468.15pt;height:197.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" filled="f" strokecolor="black [3213]">
                <v:textbox>
                  <w:txbxContent>
                    <w:p w14:paraId="451C0CC3" w14:textId="77777777" w:rsidR="00E32D73" w:rsidRDefault="00E32D73">
                      <w:r>
                        <w:rPr>
                          <w:noProof/>
                        </w:rPr>
                        <w:drawing>
                          <wp:inline distT="0" distB="0" distL="0" distR="0" wp14:anchorId="0EA6C934" wp14:editId="7F1AFA5F">
                            <wp:extent cx="5701521" cy="1897708"/>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1.tif"/>
                                    <pic:cNvPicPr/>
                                  </pic:nvPicPr>
                                  <pic:blipFill rotWithShape="1">
                                    <a:blip r:embed="rId4">
                                      <a:extLst>
                                        <a:ext uri="{28A0092B-C50C-407E-A947-70E740481C1C}">
                                          <a14:useLocalDpi xmlns:a14="http://schemas.microsoft.com/office/drawing/2010/main" val="0"/>
                                        </a:ext>
                                      </a:extLst>
                                    </a:blip>
                                    <a:srcRect b="51010"/>
                                    <a:stretch/>
                                  </pic:blipFill>
                                  <pic:spPr bwMode="auto">
                                    <a:xfrm>
                                      <a:off x="0" y="0"/>
                                      <a:ext cx="5894135" cy="1961818"/>
                                    </a:xfrm>
                                    <a:prstGeom prst="rect">
                                      <a:avLst/>
                                    </a:prstGeom>
                                    <a:ln>
                                      <a:noFill/>
                                    </a:ln>
                                    <a:extLst>
                                      <a:ext uri="{53640926-AAD7-44D8-BBD7-CCE9431645EC}">
                                        <a14:shadowObscured xmlns:a14="http://schemas.microsoft.com/office/drawing/2010/main"/>
                                      </a:ext>
                                    </a:extLst>
                                  </pic:spPr>
                                </pic:pic>
                              </a:graphicData>
                            </a:graphic>
                          </wp:inline>
                        </w:drawing>
                      </w:r>
                    </w:p>
                    <w:p w14:paraId="602275CC" w14:textId="6DE4CCE7" w:rsidR="00E32D73" w:rsidRPr="00E32D73" w:rsidRDefault="00E32D73" w:rsidP="00E32D73">
                      <w:pPr>
                        <w:pStyle w:val="Caption"/>
                        <w:rPr>
                          <w:i w:val="0"/>
                          <w:noProof/>
                          <w:color w:val="000000" w:themeColor="text1"/>
                          <w:sz w:val="21"/>
                        </w:rPr>
                      </w:pPr>
                      <w:r w:rsidRPr="00E32D73">
                        <w:rPr>
                          <w:i w:val="0"/>
                          <w:color w:val="000000" w:themeColor="text1"/>
                          <w:sz w:val="21"/>
                        </w:rPr>
                        <w:t xml:space="preserve">Figure </w:t>
                      </w:r>
                      <w:r w:rsidRPr="00E32D73">
                        <w:rPr>
                          <w:i w:val="0"/>
                          <w:color w:val="000000" w:themeColor="text1"/>
                          <w:sz w:val="21"/>
                        </w:rPr>
                        <w:fldChar w:fldCharType="begin"/>
                      </w:r>
                      <w:r w:rsidRPr="00E32D73">
                        <w:rPr>
                          <w:i w:val="0"/>
                          <w:color w:val="000000" w:themeColor="text1"/>
                          <w:sz w:val="21"/>
                        </w:rPr>
                        <w:instrText xml:space="preserve"> SEQ Figure \* ARABIC </w:instrText>
                      </w:r>
                      <w:r w:rsidRPr="00E32D73">
                        <w:rPr>
                          <w:i w:val="0"/>
                          <w:color w:val="000000" w:themeColor="text1"/>
                          <w:sz w:val="21"/>
                        </w:rPr>
                        <w:fldChar w:fldCharType="separate"/>
                      </w:r>
                      <w:r w:rsidRPr="00E32D73">
                        <w:rPr>
                          <w:i w:val="0"/>
                          <w:noProof/>
                          <w:color w:val="000000" w:themeColor="text1"/>
                          <w:sz w:val="21"/>
                        </w:rPr>
                        <w:t>1</w:t>
                      </w:r>
                      <w:r w:rsidRPr="00E32D73">
                        <w:rPr>
                          <w:i w:val="0"/>
                          <w:color w:val="000000" w:themeColor="text1"/>
                          <w:sz w:val="21"/>
                        </w:rPr>
                        <w:fldChar w:fldCharType="end"/>
                      </w:r>
                      <w:r w:rsidRPr="00E32D73">
                        <w:rPr>
                          <w:i w:val="0"/>
                          <w:color w:val="000000" w:themeColor="text1"/>
                          <w:sz w:val="21"/>
                        </w:rPr>
                        <w:t>: Experimental summary. (A) Location of experiment where colonies were reciprocally transplanted between two reefs: Orpheus (red) and Keppel (blue). (B) The two sites differ in temperature. (C) Sample sizes for gene</w:t>
                      </w:r>
                      <w:r w:rsidR="002162A9">
                        <w:rPr>
                          <w:i w:val="0"/>
                          <w:color w:val="000000" w:themeColor="text1"/>
                          <w:sz w:val="21"/>
                        </w:rPr>
                        <w:t xml:space="preserve"> </w:t>
                      </w:r>
                      <w:r w:rsidRPr="00E32D73">
                        <w:rPr>
                          <w:i w:val="0"/>
                          <w:color w:val="000000" w:themeColor="text1"/>
                          <w:sz w:val="21"/>
                        </w:rPr>
                        <w:t>expression assays (Tag-</w:t>
                      </w:r>
                      <w:proofErr w:type="spellStart"/>
                      <w:r w:rsidRPr="00E32D73">
                        <w:rPr>
                          <w:i w:val="0"/>
                          <w:color w:val="000000" w:themeColor="text1"/>
                          <w:sz w:val="21"/>
                        </w:rPr>
                        <w:t>seq</w:t>
                      </w:r>
                      <w:proofErr w:type="spellEnd"/>
                      <w:r w:rsidRPr="00E32D73">
                        <w:rPr>
                          <w:i w:val="0"/>
                          <w:color w:val="000000" w:themeColor="text1"/>
                          <w:sz w:val="21"/>
                        </w:rPr>
                        <w:t>) and methylation assays (MBD-</w:t>
                      </w:r>
                      <w:proofErr w:type="spellStart"/>
                      <w:r w:rsidRPr="00E32D73">
                        <w:rPr>
                          <w:i w:val="0"/>
                          <w:color w:val="000000" w:themeColor="text1"/>
                          <w:sz w:val="21"/>
                        </w:rPr>
                        <w:t>seq</w:t>
                      </w:r>
                      <w:proofErr w:type="spellEnd"/>
                      <w:r w:rsidRPr="00E32D73">
                        <w:rPr>
                          <w:i w:val="0"/>
                          <w:color w:val="000000" w:themeColor="text1"/>
                          <w:sz w:val="21"/>
                        </w:rPr>
                        <w:t>)</w:t>
                      </w:r>
                      <w:r w:rsidR="007A589D">
                        <w:rPr>
                          <w:i w:val="0"/>
                          <w:color w:val="000000" w:themeColor="text1"/>
                          <w:sz w:val="21"/>
                        </w:rPr>
                        <w:t>.</w:t>
                      </w:r>
                    </w:p>
                    <w:p w14:paraId="250DEE99" w14:textId="77777777" w:rsidR="00E32D73" w:rsidRDefault="00E32D73"/>
                  </w:txbxContent>
                </v:textbox>
                <w10:wrap type="topAndBottom"/>
              </v:shape>
            </w:pict>
          </mc:Fallback>
        </mc:AlternateContent>
      </w:r>
    </w:p>
    <w:p w14:paraId="60239362" w14:textId="77777777" w:rsidR="007A589D" w:rsidRDefault="007A589D" w:rsidP="00C215AB">
      <w:pPr>
        <w:ind w:firstLine="720"/>
        <w:rPr>
          <w:sz w:val="22"/>
          <w:szCs w:val="22"/>
        </w:rPr>
      </w:pPr>
    </w:p>
    <w:p w14:paraId="1F692ACA" w14:textId="48B6CF89" w:rsidR="00611189" w:rsidRDefault="00852DD8" w:rsidP="00C215AB">
      <w:pPr>
        <w:ind w:firstLine="720"/>
        <w:rPr>
          <w:sz w:val="22"/>
          <w:szCs w:val="22"/>
        </w:rPr>
      </w:pPr>
      <w:r w:rsidRPr="00474235">
        <w:rPr>
          <w:noProof/>
          <w:sz w:val="22"/>
          <w:szCs w:val="22"/>
        </w:rPr>
        <mc:AlternateContent>
          <mc:Choice Requires="wps">
            <w:drawing>
              <wp:anchor distT="0" distB="0" distL="114300" distR="114300" simplePos="0" relativeHeight="251666432" behindDoc="0" locked="0" layoutInCell="1" allowOverlap="1" wp14:anchorId="623EC5FF" wp14:editId="5F0DE5DC">
                <wp:simplePos x="0" y="0"/>
                <wp:positionH relativeFrom="column">
                  <wp:posOffset>514350</wp:posOffset>
                </wp:positionH>
                <wp:positionV relativeFrom="paragraph">
                  <wp:posOffset>1287780</wp:posOffset>
                </wp:positionV>
                <wp:extent cx="5828030" cy="2402840"/>
                <wp:effectExtent l="0" t="0" r="13970" b="35560"/>
                <wp:wrapSquare wrapText="bothSides"/>
                <wp:docPr id="11" name="Text Box 11"/>
                <wp:cNvGraphicFramePr/>
                <a:graphic xmlns:a="http://schemas.openxmlformats.org/drawingml/2006/main">
                  <a:graphicData uri="http://schemas.microsoft.com/office/word/2010/wordprocessingShape">
                    <wps:wsp>
                      <wps:cNvSpPr txBox="1"/>
                      <wps:spPr>
                        <a:xfrm>
                          <a:off x="0" y="0"/>
                          <a:ext cx="5828030" cy="24028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1E14B51" w14:textId="77777777" w:rsidR="00C215AB" w:rsidRPr="00474235" w:rsidRDefault="00C215AB">
                            <w:pPr>
                              <w:rPr>
                                <w:sz w:val="20"/>
                                <w:szCs w:val="20"/>
                              </w:rPr>
                            </w:pPr>
                            <w:r w:rsidRPr="00474235">
                              <w:rPr>
                                <w:noProof/>
                                <w:sz w:val="20"/>
                                <w:szCs w:val="20"/>
                              </w:rPr>
                              <w:drawing>
                                <wp:inline distT="0" distB="0" distL="0" distR="0" wp14:anchorId="26CB93D0" wp14:editId="6AF24A15">
                                  <wp:extent cx="5740367" cy="1558326"/>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ayes_ghosts.png"/>
                                          <pic:cNvPicPr/>
                                        </pic:nvPicPr>
                                        <pic:blipFill rotWithShape="1">
                                          <a:blip r:embed="rId5">
                                            <a:extLst>
                                              <a:ext uri="{28A0092B-C50C-407E-A947-70E740481C1C}">
                                                <a14:useLocalDpi xmlns:a14="http://schemas.microsoft.com/office/drawing/2010/main" val="0"/>
                                              </a:ext>
                                            </a:extLst>
                                          </a:blip>
                                          <a:srcRect l="1503" t="9667" b="8830"/>
                                          <a:stretch/>
                                        </pic:blipFill>
                                        <pic:spPr bwMode="auto">
                                          <a:xfrm>
                                            <a:off x="0" y="0"/>
                                            <a:ext cx="5867679" cy="1592887"/>
                                          </a:xfrm>
                                          <a:prstGeom prst="rect">
                                            <a:avLst/>
                                          </a:prstGeom>
                                          <a:ln>
                                            <a:noFill/>
                                          </a:ln>
                                          <a:extLst>
                                            <a:ext uri="{53640926-AAD7-44D8-BBD7-CCE9431645EC}">
                                              <a14:shadowObscured xmlns:a14="http://schemas.microsoft.com/office/drawing/2010/main"/>
                                            </a:ext>
                                          </a:extLst>
                                        </pic:spPr>
                                      </pic:pic>
                                    </a:graphicData>
                                  </a:graphic>
                                </wp:inline>
                              </w:drawing>
                            </w:r>
                          </w:p>
                          <w:p w14:paraId="19C867BA" w14:textId="1617313D" w:rsidR="00C215AB" w:rsidRPr="00474235" w:rsidRDefault="00C215AB" w:rsidP="002162A9">
                            <w:pPr>
                              <w:pStyle w:val="Caption"/>
                              <w:rPr>
                                <w:sz w:val="20"/>
                                <w:szCs w:val="20"/>
                              </w:rPr>
                            </w:pPr>
                            <w:r w:rsidRPr="00474235">
                              <w:rPr>
                                <w:i w:val="0"/>
                                <w:color w:val="000000" w:themeColor="text1"/>
                                <w:sz w:val="20"/>
                                <w:szCs w:val="20"/>
                              </w:rPr>
                              <w:t xml:space="preserve">Figure </w:t>
                            </w:r>
                            <w:r w:rsidRPr="00474235">
                              <w:rPr>
                                <w:i w:val="0"/>
                                <w:color w:val="000000" w:themeColor="text1"/>
                                <w:sz w:val="20"/>
                                <w:szCs w:val="20"/>
                              </w:rPr>
                              <w:fldChar w:fldCharType="begin"/>
                            </w:r>
                            <w:r w:rsidRPr="00474235">
                              <w:rPr>
                                <w:i w:val="0"/>
                                <w:color w:val="000000" w:themeColor="text1"/>
                                <w:sz w:val="20"/>
                                <w:szCs w:val="20"/>
                              </w:rPr>
                              <w:instrText xml:space="preserve"> SEQ Figure \* ARABIC </w:instrText>
                            </w:r>
                            <w:r w:rsidRPr="00474235">
                              <w:rPr>
                                <w:i w:val="0"/>
                                <w:color w:val="000000" w:themeColor="text1"/>
                                <w:sz w:val="20"/>
                                <w:szCs w:val="20"/>
                              </w:rPr>
                              <w:fldChar w:fldCharType="separate"/>
                            </w:r>
                            <w:r w:rsidRPr="00474235">
                              <w:rPr>
                                <w:i w:val="0"/>
                                <w:noProof/>
                                <w:color w:val="000000" w:themeColor="text1"/>
                                <w:sz w:val="20"/>
                                <w:szCs w:val="20"/>
                              </w:rPr>
                              <w:t>2</w:t>
                            </w:r>
                            <w:r w:rsidRPr="00474235">
                              <w:rPr>
                                <w:i w:val="0"/>
                                <w:color w:val="000000" w:themeColor="text1"/>
                                <w:sz w:val="20"/>
                                <w:szCs w:val="20"/>
                              </w:rPr>
                              <w:fldChar w:fldCharType="end"/>
                            </w:r>
                            <w:r w:rsidRPr="00474235">
                              <w:rPr>
                                <w:i w:val="0"/>
                                <w:color w:val="000000" w:themeColor="text1"/>
                                <w:sz w:val="20"/>
                                <w:szCs w:val="20"/>
                              </w:rPr>
                              <w:t xml:space="preserve">: Distributions of loading values from discriminant analyses. Density plots are color coded </w:t>
                            </w:r>
                            <w:r w:rsidR="00C7298F">
                              <w:rPr>
                                <w:i w:val="0"/>
                                <w:color w:val="000000" w:themeColor="text1"/>
                                <w:sz w:val="20"/>
                                <w:szCs w:val="20"/>
                              </w:rPr>
                              <w:t xml:space="preserve">and labeled </w:t>
                            </w:r>
                            <w:r w:rsidRPr="00474235">
                              <w:rPr>
                                <w:i w:val="0"/>
                                <w:color w:val="000000" w:themeColor="text1"/>
                                <w:sz w:val="20"/>
                                <w:szCs w:val="20"/>
                              </w:rPr>
                              <w:t>by treatment group</w:t>
                            </w:r>
                            <w:r w:rsidR="00C7298F">
                              <w:rPr>
                                <w:i w:val="0"/>
                                <w:color w:val="000000" w:themeColor="text1"/>
                                <w:sz w:val="20"/>
                                <w:szCs w:val="20"/>
                              </w:rPr>
                              <w:t xml:space="preserve"> (KK natives of Keppel placed at Keppel; KO natives of Keppel placed at Orpheus; OK natives of Orpheus placed at Keppel; OO natives of Orpheus placed at Orpheus)</w:t>
                            </w:r>
                            <w:r w:rsidRPr="00474235">
                              <w:rPr>
                                <w:i w:val="0"/>
                                <w:color w:val="000000" w:themeColor="text1"/>
                                <w:sz w:val="20"/>
                                <w:szCs w:val="20"/>
                              </w:rPr>
                              <w:t>.</w:t>
                            </w:r>
                            <w:r w:rsidR="00C7298F">
                              <w:rPr>
                                <w:i w:val="0"/>
                                <w:color w:val="000000" w:themeColor="text1"/>
                                <w:sz w:val="20"/>
                                <w:szCs w:val="20"/>
                              </w:rPr>
                              <w:t xml:space="preserve"> KK and KO are clonal pairs, as are </w:t>
                            </w:r>
                            <w:r w:rsidR="002162A9">
                              <w:rPr>
                                <w:i w:val="0"/>
                                <w:color w:val="000000" w:themeColor="text1"/>
                                <w:sz w:val="20"/>
                                <w:szCs w:val="20"/>
                              </w:rPr>
                              <w:t xml:space="preserve">the </w:t>
                            </w:r>
                            <w:r w:rsidR="00C7298F">
                              <w:rPr>
                                <w:i w:val="0"/>
                                <w:color w:val="000000" w:themeColor="text1"/>
                                <w:sz w:val="20"/>
                                <w:szCs w:val="20"/>
                              </w:rPr>
                              <w:t>OO and OK</w:t>
                            </w:r>
                            <w:r w:rsidR="002162A9">
                              <w:rPr>
                                <w:i w:val="0"/>
                                <w:color w:val="000000" w:themeColor="text1"/>
                                <w:sz w:val="20"/>
                                <w:szCs w:val="20"/>
                              </w:rPr>
                              <w:t xml:space="preserve"> groups</w:t>
                            </w:r>
                            <w:r w:rsidR="00C7298F">
                              <w:rPr>
                                <w:i w:val="0"/>
                                <w:color w:val="000000" w:themeColor="text1"/>
                                <w:sz w:val="20"/>
                                <w:szCs w:val="20"/>
                              </w:rPr>
                              <w:t>.</w:t>
                            </w:r>
                            <w:r w:rsidRPr="00474235">
                              <w:rPr>
                                <w:i w:val="0"/>
                                <w:color w:val="000000" w:themeColor="text1"/>
                                <w:sz w:val="20"/>
                                <w:szCs w:val="20"/>
                              </w:rPr>
                              <w:t xml:space="preserve"> Shift in mean methylation or gene expression</w:t>
                            </w:r>
                            <w:r w:rsidR="000E4B87">
                              <w:rPr>
                                <w:i w:val="0"/>
                                <w:color w:val="000000" w:themeColor="text1"/>
                                <w:sz w:val="20"/>
                                <w:szCs w:val="20"/>
                              </w:rPr>
                              <w:t xml:space="preserve"> (GE)</w:t>
                            </w:r>
                            <w:r w:rsidRPr="00474235">
                              <w:rPr>
                                <w:i w:val="0"/>
                                <w:color w:val="000000" w:themeColor="text1"/>
                                <w:sz w:val="20"/>
                                <w:szCs w:val="20"/>
                              </w:rPr>
                              <w:t xml:space="preserve"> loading values between groups of clone pairs a</w:t>
                            </w:r>
                            <w:r w:rsidR="002162A9">
                              <w:rPr>
                                <w:i w:val="0"/>
                                <w:color w:val="000000" w:themeColor="text1"/>
                                <w:sz w:val="20"/>
                                <w:szCs w:val="20"/>
                              </w:rPr>
                              <w:t>re indicated by colored arrows.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3EC5FF" id="Text Box 11" o:spid="_x0000_s1027" type="#_x0000_t202" style="position:absolute;left:0;text-align:left;margin-left:40.5pt;margin-top:101.4pt;width:458.9pt;height:189.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" filled="f" strokecolor="black [3213]">
                <v:textbox>
                  <w:txbxContent>
                    <w:p w14:paraId="31E14B51" w14:textId="77777777" w:rsidR="00C215AB" w:rsidRPr="00474235" w:rsidRDefault="00C215AB">
                      <w:pPr>
                        <w:rPr>
                          <w:sz w:val="20"/>
                          <w:szCs w:val="20"/>
                        </w:rPr>
                      </w:pPr>
                      <w:r w:rsidRPr="00474235">
                        <w:rPr>
                          <w:noProof/>
                          <w:sz w:val="20"/>
                          <w:szCs w:val="20"/>
                        </w:rPr>
                        <w:drawing>
                          <wp:inline distT="0" distB="0" distL="0" distR="0" wp14:anchorId="26CB93D0" wp14:editId="6AF24A15">
                            <wp:extent cx="5740367" cy="1558326"/>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ayes_ghosts.png"/>
                                    <pic:cNvPicPr/>
                                  </pic:nvPicPr>
                                  <pic:blipFill rotWithShape="1">
                                    <a:blip r:embed="rId5">
                                      <a:extLst>
                                        <a:ext uri="{28A0092B-C50C-407E-A947-70E740481C1C}">
                                          <a14:useLocalDpi xmlns:a14="http://schemas.microsoft.com/office/drawing/2010/main" val="0"/>
                                        </a:ext>
                                      </a:extLst>
                                    </a:blip>
                                    <a:srcRect l="1503" t="9667" b="8830"/>
                                    <a:stretch/>
                                  </pic:blipFill>
                                  <pic:spPr bwMode="auto">
                                    <a:xfrm>
                                      <a:off x="0" y="0"/>
                                      <a:ext cx="5867679" cy="1592887"/>
                                    </a:xfrm>
                                    <a:prstGeom prst="rect">
                                      <a:avLst/>
                                    </a:prstGeom>
                                    <a:ln>
                                      <a:noFill/>
                                    </a:ln>
                                    <a:extLst>
                                      <a:ext uri="{53640926-AAD7-44D8-BBD7-CCE9431645EC}">
                                        <a14:shadowObscured xmlns:a14="http://schemas.microsoft.com/office/drawing/2010/main"/>
                                      </a:ext>
                                    </a:extLst>
                                  </pic:spPr>
                                </pic:pic>
                              </a:graphicData>
                            </a:graphic>
                          </wp:inline>
                        </w:drawing>
                      </w:r>
                    </w:p>
                    <w:p w14:paraId="19C867BA" w14:textId="1617313D" w:rsidR="00C215AB" w:rsidRPr="00474235" w:rsidRDefault="00C215AB" w:rsidP="002162A9">
                      <w:pPr>
                        <w:pStyle w:val="Caption"/>
                        <w:rPr>
                          <w:sz w:val="20"/>
                          <w:szCs w:val="20"/>
                        </w:rPr>
                      </w:pPr>
                      <w:r w:rsidRPr="00474235">
                        <w:rPr>
                          <w:i w:val="0"/>
                          <w:color w:val="000000" w:themeColor="text1"/>
                          <w:sz w:val="20"/>
                          <w:szCs w:val="20"/>
                        </w:rPr>
                        <w:t xml:space="preserve">Figure </w:t>
                      </w:r>
                      <w:r w:rsidRPr="00474235">
                        <w:rPr>
                          <w:i w:val="0"/>
                          <w:color w:val="000000" w:themeColor="text1"/>
                          <w:sz w:val="20"/>
                          <w:szCs w:val="20"/>
                        </w:rPr>
                        <w:fldChar w:fldCharType="begin"/>
                      </w:r>
                      <w:r w:rsidRPr="00474235">
                        <w:rPr>
                          <w:i w:val="0"/>
                          <w:color w:val="000000" w:themeColor="text1"/>
                          <w:sz w:val="20"/>
                          <w:szCs w:val="20"/>
                        </w:rPr>
                        <w:instrText xml:space="preserve"> SEQ Figure \* ARABIC </w:instrText>
                      </w:r>
                      <w:r w:rsidRPr="00474235">
                        <w:rPr>
                          <w:i w:val="0"/>
                          <w:color w:val="000000" w:themeColor="text1"/>
                          <w:sz w:val="20"/>
                          <w:szCs w:val="20"/>
                        </w:rPr>
                        <w:fldChar w:fldCharType="separate"/>
                      </w:r>
                      <w:r w:rsidRPr="00474235">
                        <w:rPr>
                          <w:i w:val="0"/>
                          <w:noProof/>
                          <w:color w:val="000000" w:themeColor="text1"/>
                          <w:sz w:val="20"/>
                          <w:szCs w:val="20"/>
                        </w:rPr>
                        <w:t>2</w:t>
                      </w:r>
                      <w:r w:rsidRPr="00474235">
                        <w:rPr>
                          <w:i w:val="0"/>
                          <w:color w:val="000000" w:themeColor="text1"/>
                          <w:sz w:val="20"/>
                          <w:szCs w:val="20"/>
                        </w:rPr>
                        <w:fldChar w:fldCharType="end"/>
                      </w:r>
                      <w:r w:rsidRPr="00474235">
                        <w:rPr>
                          <w:i w:val="0"/>
                          <w:color w:val="000000" w:themeColor="text1"/>
                          <w:sz w:val="20"/>
                          <w:szCs w:val="20"/>
                        </w:rPr>
                        <w:t xml:space="preserve">: Distributions of loading values from discriminant analyses. Density plots are color coded </w:t>
                      </w:r>
                      <w:r w:rsidR="00C7298F">
                        <w:rPr>
                          <w:i w:val="0"/>
                          <w:color w:val="000000" w:themeColor="text1"/>
                          <w:sz w:val="20"/>
                          <w:szCs w:val="20"/>
                        </w:rPr>
                        <w:t xml:space="preserve">and labeled </w:t>
                      </w:r>
                      <w:r w:rsidRPr="00474235">
                        <w:rPr>
                          <w:i w:val="0"/>
                          <w:color w:val="000000" w:themeColor="text1"/>
                          <w:sz w:val="20"/>
                          <w:szCs w:val="20"/>
                        </w:rPr>
                        <w:t>by treatment group</w:t>
                      </w:r>
                      <w:r w:rsidR="00C7298F">
                        <w:rPr>
                          <w:i w:val="0"/>
                          <w:color w:val="000000" w:themeColor="text1"/>
                          <w:sz w:val="20"/>
                          <w:szCs w:val="20"/>
                        </w:rPr>
                        <w:t xml:space="preserve"> (KK natives of Keppel placed at Keppel; KO natives of Keppel placed at Orpheus; OK natives of Orpheus placed at Keppel; OO natives of Orpheus placed at Orpheus)</w:t>
                      </w:r>
                      <w:r w:rsidRPr="00474235">
                        <w:rPr>
                          <w:i w:val="0"/>
                          <w:color w:val="000000" w:themeColor="text1"/>
                          <w:sz w:val="20"/>
                          <w:szCs w:val="20"/>
                        </w:rPr>
                        <w:t>.</w:t>
                      </w:r>
                      <w:r w:rsidR="00C7298F">
                        <w:rPr>
                          <w:i w:val="0"/>
                          <w:color w:val="000000" w:themeColor="text1"/>
                          <w:sz w:val="20"/>
                          <w:szCs w:val="20"/>
                        </w:rPr>
                        <w:t xml:space="preserve"> KK and KO are clonal pairs, as are </w:t>
                      </w:r>
                      <w:r w:rsidR="002162A9">
                        <w:rPr>
                          <w:i w:val="0"/>
                          <w:color w:val="000000" w:themeColor="text1"/>
                          <w:sz w:val="20"/>
                          <w:szCs w:val="20"/>
                        </w:rPr>
                        <w:t xml:space="preserve">the </w:t>
                      </w:r>
                      <w:r w:rsidR="00C7298F">
                        <w:rPr>
                          <w:i w:val="0"/>
                          <w:color w:val="000000" w:themeColor="text1"/>
                          <w:sz w:val="20"/>
                          <w:szCs w:val="20"/>
                        </w:rPr>
                        <w:t>OO and OK</w:t>
                      </w:r>
                      <w:r w:rsidR="002162A9">
                        <w:rPr>
                          <w:i w:val="0"/>
                          <w:color w:val="000000" w:themeColor="text1"/>
                          <w:sz w:val="20"/>
                          <w:szCs w:val="20"/>
                        </w:rPr>
                        <w:t xml:space="preserve"> groups</w:t>
                      </w:r>
                      <w:r w:rsidR="00C7298F">
                        <w:rPr>
                          <w:i w:val="0"/>
                          <w:color w:val="000000" w:themeColor="text1"/>
                          <w:sz w:val="20"/>
                          <w:szCs w:val="20"/>
                        </w:rPr>
                        <w:t>.</w:t>
                      </w:r>
                      <w:r w:rsidRPr="00474235">
                        <w:rPr>
                          <w:i w:val="0"/>
                          <w:color w:val="000000" w:themeColor="text1"/>
                          <w:sz w:val="20"/>
                          <w:szCs w:val="20"/>
                        </w:rPr>
                        <w:t xml:space="preserve"> Shift in mean methylation or gene expression</w:t>
                      </w:r>
                      <w:r w:rsidR="000E4B87">
                        <w:rPr>
                          <w:i w:val="0"/>
                          <w:color w:val="000000" w:themeColor="text1"/>
                          <w:sz w:val="20"/>
                          <w:szCs w:val="20"/>
                        </w:rPr>
                        <w:t xml:space="preserve"> (GE)</w:t>
                      </w:r>
                      <w:r w:rsidRPr="00474235">
                        <w:rPr>
                          <w:i w:val="0"/>
                          <w:color w:val="000000" w:themeColor="text1"/>
                          <w:sz w:val="20"/>
                          <w:szCs w:val="20"/>
                        </w:rPr>
                        <w:t xml:space="preserve"> loading values between groups of clone pairs a</w:t>
                      </w:r>
                      <w:r w:rsidR="002162A9">
                        <w:rPr>
                          <w:i w:val="0"/>
                          <w:color w:val="000000" w:themeColor="text1"/>
                          <w:sz w:val="20"/>
                          <w:szCs w:val="20"/>
                        </w:rPr>
                        <w:t>re indicated by colored arrows.</w:t>
                      </w:r>
                    </w:p>
                  </w:txbxContent>
                </v:textbox>
                <w10:wrap type="square"/>
              </v:shape>
            </w:pict>
          </mc:Fallback>
        </mc:AlternateContent>
      </w:r>
      <w:r w:rsidR="0058313B">
        <w:rPr>
          <w:sz w:val="22"/>
          <w:szCs w:val="22"/>
        </w:rPr>
        <w:t>To</w:t>
      </w:r>
      <w:r w:rsidR="00F36850" w:rsidRPr="00474235">
        <w:rPr>
          <w:sz w:val="22"/>
          <w:szCs w:val="22"/>
        </w:rPr>
        <w:t xml:space="preserve"> characterize the variation in SNPs, GBM, and</w:t>
      </w:r>
      <w:r w:rsidR="000E4B87">
        <w:rPr>
          <w:sz w:val="22"/>
          <w:szCs w:val="22"/>
        </w:rPr>
        <w:t xml:space="preserve"> GE</w:t>
      </w:r>
      <w:r w:rsidR="00F36850" w:rsidRPr="00474235">
        <w:rPr>
          <w:sz w:val="22"/>
          <w:szCs w:val="22"/>
        </w:rPr>
        <w:t>, we conducted discriminant analysis of principal components (DAPC)</w:t>
      </w:r>
      <w:r w:rsidR="00C95241" w:rsidRPr="00474235">
        <w:rPr>
          <w:sz w:val="22"/>
          <w:szCs w:val="22"/>
        </w:rPr>
        <w:fldChar w:fldCharType="begin" w:fldLock="1"/>
      </w:r>
      <w:r w:rsidR="007B1748">
        <w:rPr>
          <w:sz w:val="22"/>
          <w:szCs w:val="22"/>
        </w:rPr>
        <w:instrText>ADDIN CSL_CITATION { "citationItems" : [ { "id" : "ITEM-1", "itemData" : { "DOI" : "10.1186/1471-2156-11-94", "ISSN" : "1471-2156", "abstract" : "The dramatic progress in sequencing technologies offers unprecedented prospects for deciphering the organization of natural populations in space and time. However, the size of the datasets generated also poses some daunting challenges. In particular, Bayesian clustering algorithms based on pre-defined population genetics models such as the STRUCTURE or BAPS software may not be able to cope with this unprecedented amount of data. Thus, there is a need for less computer-intensive approaches. Multivariate analyses seem particularly appealing as they are specifically devoted to extracting information from large datasets. Unfortunately, currently available multivariate methods still lack some essential features needed to study the genetic structure of natural populations. We introduce the Discriminant Analysis of Principal Components (DAPC), a multivariate method designed to identify and describe clusters of genetically related individuals. When group priors are lacking, DAPC uses sequential K-means and model selection to infer genetic clusters. Our approach allows extracting rich information from genetic data, providing assignment of individuals to groups, a visual assessment of between-population differentiation, and contribution of individual alleles to population structuring. We evaluate the performance of our method using simulated data, which were also analyzed using STRUCTURE as a benchmark. Additionally, we illustrate the method by analyzing microsatellite polymorphism in worldwide human populations and hemagglutinin gene sequence variation in seasonal influenza. Analysis of simulated data revealed that our approach performs generally better than STRUCTURE at characterizing population subdivision. The tools implemented in DAPC for the identification of clusters and graphical representation of between-group structures allow to unravel complex population structures. Our approach is also faster than Bayesian clustering algorithms by several orders of magnitude, and may be applicable to a wider range of datasets.", "author" : [ { "dropping-particle" : "", "family" : "Jombart", "given" : "Thibaut", "non-dropping-particle" : "", "parse-names" : false, "suffix" : "" }, { "dropping-particle" : "", "family" : "Devillard", "given" : "S\u00e9bastien", "non-dropping-particle" : "", "parse-names" : false, "suffix" : "" }, { "dropping-particle" : "", "family" : "Balloux", "given" : "Fran\u00e7ois", "non-dropping-particle" : "", "parse-names" : false, "suffix" : "" } ], "container-title" : "BMC Genetics", "id" : "ITEM-1", "issue" : "1", "issued" : { "date-parts" : [ [ "2010" ] ] }, "page" : "94", "title" : "Discriminant analysis of principal components: a new method for the analysis of genetically structured populations", "type" : "article-journal", "volume" : "11" }, "uris" : [ "http://www.mendeley.com/documents/?uuid=b127fc06-6ef7-4350-9c34-9c928f23afbe" ] } ], "mendeley" : { "formattedCitation" : "&lt;sup&gt;1&lt;/sup&gt;", "plainTextFormattedCitation" : "1", "previouslyFormattedCitation" : "&lt;sup&gt;1&lt;/sup&gt;" }, "properties" : { "noteIndex" : 0 }, "schema" : "https://github.com/citation-style-language/schema/raw/master/csl-citation.json" }</w:instrText>
      </w:r>
      <w:r w:rsidR="00C95241" w:rsidRPr="00474235">
        <w:rPr>
          <w:sz w:val="22"/>
          <w:szCs w:val="22"/>
        </w:rPr>
        <w:fldChar w:fldCharType="separate"/>
      </w:r>
      <w:r w:rsidR="00C95241" w:rsidRPr="00474235">
        <w:rPr>
          <w:noProof/>
          <w:sz w:val="22"/>
          <w:szCs w:val="22"/>
          <w:vertAlign w:val="superscript"/>
        </w:rPr>
        <w:t>1</w:t>
      </w:r>
      <w:r w:rsidR="00C95241" w:rsidRPr="00474235">
        <w:rPr>
          <w:sz w:val="22"/>
          <w:szCs w:val="22"/>
        </w:rPr>
        <w:fldChar w:fldCharType="end"/>
      </w:r>
      <w:r w:rsidR="00C95241" w:rsidRPr="00474235">
        <w:rPr>
          <w:sz w:val="22"/>
          <w:szCs w:val="22"/>
          <w:vertAlign w:val="superscript"/>
        </w:rPr>
        <w:t>,</w:t>
      </w:r>
      <w:r w:rsidR="00C95241" w:rsidRPr="00474235">
        <w:rPr>
          <w:sz w:val="22"/>
          <w:szCs w:val="22"/>
        </w:rPr>
        <w:fldChar w:fldCharType="begin" w:fldLock="1"/>
      </w:r>
      <w:r w:rsidR="007B1748">
        <w:rPr>
          <w:sz w:val="22"/>
          <w:szCs w:val="22"/>
        </w:rPr>
        <w:instrText>ADDIN CSL_CITATION { "citationItems" : [ { "id" : "ITEM-1", "itemData" : { "DOI" : "10.1101/059667", "ISSN" : "2397-334X", "abstract" : "Local adaptation is ubiquitous, but the molecular mechanisms giving rise to this ecological phenomenon remain largely unknown. A year-long reciprocal transplant of mustard hill coral (Porites astreoides) between a highly environmentally variable inshore habitat and more stable offshore habitat demonstrated that both inshore and offshore populations exhibit elevated growth, protein and lipid content in their home reef environment, indicative of local adaptation. Here, we characterized the genomic basis of this adaptation in both coral hosts and their intracellular algal symbionts (Symbiodinium sp.) using genome-wide gene expression profiling and gene coexpression network analysis. Inshore and offshore coral populations differ primarily in their capacity for gene expression plasticity: upon transplantation to a novel environment inshore corals were able to match expression profiles of the local population significantly better than offshore corals. Furthermore, elevated plasticity in expression of environmental stress response (ESR) genes was adaptive in the inshore environment: it correlated with the least susceptibility to a natural summer bleaching event, whereas higher constitutive ESR gene expression (\"frontloading\" sensu Barshis et al. 2013) did not. Our results reveal a novel genomic mechanism of resilience to a variable environment, demonstrating that corals are capable of a more diverse molecular response to environmental stress than previously thought.", "author" : [ { "dropping-particle" : "", "family" : "Kenkel", "given" : "Carly", "non-dropping-particle" : "", "parse-names" : false, "suffix" : "" }, { "dropping-particle" : "V", "family" : "Matz", "given" : "Mikhail", "non-dropping-particle" : "", "parse-names" : false, "suffix" : "" } ], "container-title" : "nature ecology &amp; evolution", "id" : "ITEM-1", "issued" : { "date-parts" : [ [ "2016" ] ] }, "page" : "0014", "publisher" : "Nature Publishing Group", "title" : "Enhanced gene expression plasticity as a mechanism of adaptation to a variable environment in a reef-building coral", "type" : "article-journal", "volume" : "1" }, "uris" : [ "http://www.mendeley.com/documents/?uuid=a6cb1c11-9b1b-405a-827e-acba0e53d0ba" ] } ], "mendeley" : { "formattedCitation" : "&lt;sup&gt;2&lt;/sup&gt;", "plainTextFormattedCitation" : "2", "previouslyFormattedCitation" : "&lt;sup&gt;2&lt;/sup&gt;" }, "properties" : { "noteIndex" : 0 }, "schema" : "https://github.com/citation-style-language/schema/raw/master/csl-citation.json" }</w:instrText>
      </w:r>
      <w:r w:rsidR="00C95241" w:rsidRPr="00474235">
        <w:rPr>
          <w:sz w:val="22"/>
          <w:szCs w:val="22"/>
        </w:rPr>
        <w:fldChar w:fldCharType="separate"/>
      </w:r>
      <w:r w:rsidR="00C95241" w:rsidRPr="00474235">
        <w:rPr>
          <w:noProof/>
          <w:sz w:val="22"/>
          <w:szCs w:val="22"/>
          <w:vertAlign w:val="superscript"/>
        </w:rPr>
        <w:t>2</w:t>
      </w:r>
      <w:r w:rsidR="00C95241" w:rsidRPr="00474235">
        <w:rPr>
          <w:sz w:val="22"/>
          <w:szCs w:val="22"/>
        </w:rPr>
        <w:fldChar w:fldCharType="end"/>
      </w:r>
      <w:r w:rsidR="00F36850" w:rsidRPr="00474235">
        <w:rPr>
          <w:sz w:val="22"/>
          <w:szCs w:val="22"/>
        </w:rPr>
        <w:t>. This method is designed to identify the axis in multivariate space that maximizes differences (discriminates) between designated groups.</w:t>
      </w:r>
      <w:r w:rsidR="00AC3155" w:rsidRPr="00474235">
        <w:rPr>
          <w:sz w:val="22"/>
          <w:szCs w:val="22"/>
        </w:rPr>
        <w:t xml:space="preserve"> Additional datasets can then be projected onto this axis. We used this method to develop functions </w:t>
      </w:r>
      <w:r w:rsidR="002162A9">
        <w:rPr>
          <w:sz w:val="22"/>
          <w:szCs w:val="22"/>
        </w:rPr>
        <w:t>discriminating</w:t>
      </w:r>
      <w:r w:rsidR="00AC3155" w:rsidRPr="00474235">
        <w:rPr>
          <w:sz w:val="22"/>
          <w:szCs w:val="22"/>
        </w:rPr>
        <w:t xml:space="preserve"> Orpheus and Keppel corals (KK and OO samples) that were replaced at their nat</w:t>
      </w:r>
      <w:r w:rsidR="002162A9">
        <w:rPr>
          <w:sz w:val="22"/>
          <w:szCs w:val="22"/>
        </w:rPr>
        <w:t>ive sites during the experiment. We</w:t>
      </w:r>
      <w:r w:rsidR="00AC3155" w:rsidRPr="00474235">
        <w:rPr>
          <w:sz w:val="22"/>
          <w:szCs w:val="22"/>
        </w:rPr>
        <w:t xml:space="preserve"> then applied this function to the</w:t>
      </w:r>
      <w:r w:rsidR="002162A9">
        <w:rPr>
          <w:sz w:val="22"/>
          <w:szCs w:val="22"/>
        </w:rPr>
        <w:t>ir transplanted clone-mates</w:t>
      </w:r>
      <w:r w:rsidR="00AC3155" w:rsidRPr="00474235">
        <w:rPr>
          <w:sz w:val="22"/>
          <w:szCs w:val="22"/>
        </w:rPr>
        <w:t xml:space="preserve"> (KO and OK </w:t>
      </w:r>
      <w:r w:rsidR="00211793" w:rsidRPr="00474235">
        <w:rPr>
          <w:sz w:val="22"/>
          <w:szCs w:val="22"/>
        </w:rPr>
        <w:t>samples)</w:t>
      </w:r>
      <w:r w:rsidR="00211793">
        <w:rPr>
          <w:sz w:val="22"/>
          <w:szCs w:val="22"/>
        </w:rPr>
        <w:t xml:space="preserve"> (</w:t>
      </w:r>
      <w:r w:rsidR="00474235">
        <w:rPr>
          <w:sz w:val="22"/>
          <w:szCs w:val="22"/>
        </w:rPr>
        <w:t>fig. 2)</w:t>
      </w:r>
      <w:r w:rsidR="00AC3155" w:rsidRPr="00474235">
        <w:rPr>
          <w:sz w:val="22"/>
          <w:szCs w:val="22"/>
        </w:rPr>
        <w:t xml:space="preserve">. Similarly, we generated a discriminant </w:t>
      </w:r>
      <w:r w:rsidR="00C95241" w:rsidRPr="00474235">
        <w:rPr>
          <w:sz w:val="22"/>
          <w:szCs w:val="22"/>
        </w:rPr>
        <w:t>function based on SNP data to quantify genetic differences between Orpheus and Keppel colonies.</w:t>
      </w:r>
    </w:p>
    <w:p w14:paraId="00DFBC8F" w14:textId="7F4BC404" w:rsidR="00761F3A" w:rsidRPr="00474235" w:rsidRDefault="00B461BF" w:rsidP="00C215AB">
      <w:pPr>
        <w:ind w:firstLine="720"/>
        <w:rPr>
          <w:sz w:val="22"/>
          <w:szCs w:val="22"/>
        </w:rPr>
      </w:pPr>
      <w:r>
        <w:rPr>
          <w:noProof/>
          <w:sz w:val="22"/>
          <w:szCs w:val="22"/>
        </w:rPr>
        <w:lastRenderedPageBreak/>
        <mc:AlternateContent>
          <mc:Choice Requires="wps">
            <w:drawing>
              <wp:anchor distT="0" distB="0" distL="114300" distR="114300" simplePos="0" relativeHeight="251668480" behindDoc="0" locked="0" layoutInCell="1" allowOverlap="1" wp14:anchorId="2A62BA8F" wp14:editId="3DDDD9D9">
                <wp:simplePos x="0" y="0"/>
                <wp:positionH relativeFrom="column">
                  <wp:posOffset>7620</wp:posOffset>
                </wp:positionH>
                <wp:positionV relativeFrom="paragraph">
                  <wp:posOffset>3371850</wp:posOffset>
                </wp:positionV>
                <wp:extent cx="1715770" cy="4631690"/>
                <wp:effectExtent l="0" t="0" r="36830" b="16510"/>
                <wp:wrapSquare wrapText="bothSides"/>
                <wp:docPr id="1" name="Text Box 1"/>
                <wp:cNvGraphicFramePr/>
                <a:graphic xmlns:a="http://schemas.openxmlformats.org/drawingml/2006/main">
                  <a:graphicData uri="http://schemas.microsoft.com/office/word/2010/wordprocessingShape">
                    <wps:wsp>
                      <wps:cNvSpPr txBox="1"/>
                      <wps:spPr>
                        <a:xfrm>
                          <a:off x="0" y="0"/>
                          <a:ext cx="1715770" cy="463169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489AF379" w14:textId="77777777" w:rsidR="00AA0710" w:rsidRDefault="00AA0710">
                            <w:r w:rsidRPr="00AA0710">
                              <w:rPr>
                                <w:noProof/>
                              </w:rPr>
                              <w:drawing>
                                <wp:inline distT="0" distB="0" distL="0" distR="0" wp14:anchorId="763AA07D" wp14:editId="41792F20">
                                  <wp:extent cx="1459326" cy="1786890"/>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6"/>
                                          <a:srcRect l="1920" r="10768"/>
                                          <a:stretch/>
                                        </pic:blipFill>
                                        <pic:spPr bwMode="auto">
                                          <a:xfrm>
                                            <a:off x="0" y="0"/>
                                            <a:ext cx="1460081" cy="1787814"/>
                                          </a:xfrm>
                                          <a:prstGeom prst="rect">
                                            <a:avLst/>
                                          </a:prstGeom>
                                          <a:ln>
                                            <a:noFill/>
                                          </a:ln>
                                          <a:extLst>
                                            <a:ext uri="{53640926-AAD7-44D8-BBD7-CCE9431645EC}">
                                              <a14:shadowObscured xmlns:a14="http://schemas.microsoft.com/office/drawing/2010/main"/>
                                            </a:ext>
                                          </a:extLst>
                                        </pic:spPr>
                                      </pic:pic>
                                    </a:graphicData>
                                  </a:graphic>
                                </wp:inline>
                              </w:drawing>
                            </w:r>
                          </w:p>
                          <w:p w14:paraId="3C562329" w14:textId="7AE54EB6" w:rsidR="00AA0710" w:rsidRPr="00356DB4" w:rsidRDefault="00AA0710" w:rsidP="00AA0710">
                            <w:pPr>
                              <w:jc w:val="center"/>
                              <w:rPr>
                                <w:b/>
                                <w:sz w:val="21"/>
                              </w:rPr>
                            </w:pPr>
                            <w:r w:rsidRPr="00356DB4">
                              <w:rPr>
                                <w:b/>
                                <w:sz w:val="21"/>
                              </w:rPr>
                              <w:t>Estimate Summary:</w:t>
                            </w:r>
                          </w:p>
                          <w:tbl>
                            <w:tblPr>
                              <w:tblW w:w="2659" w:type="dxa"/>
                              <w:tblInd w:w="-106" w:type="dxa"/>
                              <w:tblCellMar>
                                <w:left w:w="0" w:type="dxa"/>
                                <w:right w:w="0" w:type="dxa"/>
                              </w:tblCellMar>
                              <w:tblLook w:val="0600" w:firstRow="0" w:lastRow="0" w:firstColumn="0" w:lastColumn="0" w:noHBand="1" w:noVBand="1"/>
                            </w:tblPr>
                            <w:tblGrid>
                              <w:gridCol w:w="149"/>
                              <w:gridCol w:w="608"/>
                              <w:gridCol w:w="724"/>
                              <w:gridCol w:w="499"/>
                              <w:gridCol w:w="679"/>
                            </w:tblGrid>
                            <w:tr w:rsidR="000D7057" w:rsidRPr="00AA0710" w14:paraId="2D64DBEC" w14:textId="77777777" w:rsidTr="006761E6">
                              <w:trPr>
                                <w:trHeight w:val="326"/>
                              </w:trPr>
                              <w:tc>
                                <w:tcPr>
                                  <w:tcW w:w="149" w:type="dxa"/>
                                  <w:tcBorders>
                                    <w:top w:val="single" w:sz="8" w:space="0" w:color="FFFFFF"/>
                                    <w:left w:val="single" w:sz="8" w:space="0" w:color="FFFFFF"/>
                                    <w:bottom w:val="single" w:sz="8" w:space="0" w:color="FFFFFF"/>
                                    <w:right w:val="single" w:sz="8" w:space="0" w:color="FFFFFF"/>
                                  </w:tcBorders>
                                  <w:shd w:val="clear" w:color="auto" w:fill="FFFFFF"/>
                                  <w:tcMar>
                                    <w:top w:w="10" w:type="dxa"/>
                                    <w:left w:w="10" w:type="dxa"/>
                                    <w:bottom w:w="0" w:type="dxa"/>
                                    <w:right w:w="10" w:type="dxa"/>
                                  </w:tcMar>
                                  <w:vAlign w:val="bottom"/>
                                  <w:hideMark/>
                                </w:tcPr>
                                <w:p w14:paraId="7B7B4125" w14:textId="77777777" w:rsidR="00AA0710" w:rsidRPr="00AA0710" w:rsidRDefault="00AA0710" w:rsidP="00AA0710">
                                  <w:pPr>
                                    <w:rPr>
                                      <w:sz w:val="21"/>
                                    </w:rPr>
                                  </w:pPr>
                                </w:p>
                              </w:tc>
                              <w:tc>
                                <w:tcPr>
                                  <w:tcW w:w="608" w:type="dxa"/>
                                  <w:tcBorders>
                                    <w:top w:val="single" w:sz="8" w:space="0" w:color="FFFFFF"/>
                                    <w:left w:val="single" w:sz="8" w:space="0" w:color="FFFFFF"/>
                                    <w:bottom w:val="single" w:sz="8" w:space="0" w:color="FFFFFF"/>
                                    <w:right w:val="single" w:sz="8" w:space="0" w:color="FFFFFF"/>
                                  </w:tcBorders>
                                  <w:shd w:val="clear" w:color="auto" w:fill="FFFFFF"/>
                                  <w:tcMar>
                                    <w:top w:w="10" w:type="dxa"/>
                                    <w:left w:w="10" w:type="dxa"/>
                                    <w:bottom w:w="0" w:type="dxa"/>
                                    <w:right w:w="10" w:type="dxa"/>
                                  </w:tcMar>
                                  <w:vAlign w:val="center"/>
                                  <w:hideMark/>
                                </w:tcPr>
                                <w:p w14:paraId="427F20A0" w14:textId="77777777" w:rsidR="00AA0710" w:rsidRPr="00AA0710" w:rsidRDefault="00AA0710" w:rsidP="00AA0710">
                                  <w:pPr>
                                    <w:rPr>
                                      <w:sz w:val="21"/>
                                    </w:rPr>
                                  </w:pPr>
                                  <w:r w:rsidRPr="00AA0710">
                                    <w:rPr>
                                      <w:sz w:val="21"/>
                                    </w:rPr>
                                    <w:t>Mean</w:t>
                                  </w:r>
                                </w:p>
                              </w:tc>
                              <w:tc>
                                <w:tcPr>
                                  <w:tcW w:w="724" w:type="dxa"/>
                                  <w:tcBorders>
                                    <w:top w:val="single" w:sz="8" w:space="0" w:color="FFFFFF"/>
                                    <w:left w:val="single" w:sz="8" w:space="0" w:color="FFFFFF"/>
                                    <w:bottom w:val="single" w:sz="8" w:space="0" w:color="FFFFFF"/>
                                    <w:right w:val="single" w:sz="8" w:space="0" w:color="FFFFFF"/>
                                  </w:tcBorders>
                                  <w:shd w:val="clear" w:color="auto" w:fill="FFFFFF"/>
                                  <w:tcMar>
                                    <w:top w:w="10" w:type="dxa"/>
                                    <w:left w:w="10" w:type="dxa"/>
                                    <w:bottom w:w="0" w:type="dxa"/>
                                    <w:right w:w="10" w:type="dxa"/>
                                  </w:tcMar>
                                  <w:vAlign w:val="center"/>
                                  <w:hideMark/>
                                </w:tcPr>
                                <w:p w14:paraId="22138174" w14:textId="77777777" w:rsidR="00AA0710" w:rsidRPr="00AA0710" w:rsidRDefault="00AA0710" w:rsidP="00AA0710">
                                  <w:pPr>
                                    <w:rPr>
                                      <w:sz w:val="21"/>
                                    </w:rPr>
                                  </w:pPr>
                                  <w:proofErr w:type="spellStart"/>
                                  <w:r w:rsidRPr="00AA0710">
                                    <w:rPr>
                                      <w:sz w:val="21"/>
                                    </w:rPr>
                                    <w:t>StdDev</w:t>
                                  </w:r>
                                  <w:proofErr w:type="spellEnd"/>
                                </w:p>
                              </w:tc>
                              <w:tc>
                                <w:tcPr>
                                  <w:tcW w:w="499" w:type="dxa"/>
                                  <w:tcBorders>
                                    <w:top w:val="single" w:sz="8" w:space="0" w:color="FFFFFF"/>
                                    <w:left w:val="single" w:sz="8" w:space="0" w:color="FFFFFF"/>
                                    <w:bottom w:val="single" w:sz="8" w:space="0" w:color="FFFFFF"/>
                                    <w:right w:val="single" w:sz="8" w:space="0" w:color="FFFFFF"/>
                                  </w:tcBorders>
                                  <w:shd w:val="clear" w:color="auto" w:fill="FFFFFF"/>
                                  <w:tcMar>
                                    <w:top w:w="10" w:type="dxa"/>
                                    <w:left w:w="10" w:type="dxa"/>
                                    <w:bottom w:w="0" w:type="dxa"/>
                                    <w:right w:w="10" w:type="dxa"/>
                                  </w:tcMar>
                                  <w:vAlign w:val="center"/>
                                  <w:hideMark/>
                                </w:tcPr>
                                <w:p w14:paraId="615A051F" w14:textId="77777777" w:rsidR="00AA0710" w:rsidRPr="00AA0710" w:rsidRDefault="00AA0710" w:rsidP="00AA0710">
                                  <w:pPr>
                                    <w:rPr>
                                      <w:sz w:val="21"/>
                                    </w:rPr>
                                  </w:pPr>
                                  <w:r w:rsidRPr="00AA0710">
                                    <w:rPr>
                                      <w:sz w:val="21"/>
                                      <w:lang w:val="it-IT"/>
                                    </w:rPr>
                                    <w:t>5%</w:t>
                                  </w:r>
                                </w:p>
                              </w:tc>
                              <w:tc>
                                <w:tcPr>
                                  <w:tcW w:w="679" w:type="dxa"/>
                                  <w:tcBorders>
                                    <w:top w:val="single" w:sz="8" w:space="0" w:color="FFFFFF"/>
                                    <w:left w:val="single" w:sz="8" w:space="0" w:color="FFFFFF"/>
                                    <w:bottom w:val="single" w:sz="8" w:space="0" w:color="FFFFFF"/>
                                    <w:right w:val="single" w:sz="8" w:space="0" w:color="FFFFFF"/>
                                  </w:tcBorders>
                                  <w:shd w:val="clear" w:color="auto" w:fill="FFFFFF"/>
                                  <w:tcMar>
                                    <w:top w:w="10" w:type="dxa"/>
                                    <w:left w:w="10" w:type="dxa"/>
                                    <w:bottom w:w="0" w:type="dxa"/>
                                    <w:right w:w="10" w:type="dxa"/>
                                  </w:tcMar>
                                  <w:vAlign w:val="center"/>
                                  <w:hideMark/>
                                </w:tcPr>
                                <w:p w14:paraId="55836920" w14:textId="77777777" w:rsidR="00AA0710" w:rsidRPr="00AA0710" w:rsidRDefault="00AA0710" w:rsidP="00AA0710">
                                  <w:pPr>
                                    <w:rPr>
                                      <w:sz w:val="21"/>
                                    </w:rPr>
                                  </w:pPr>
                                  <w:r w:rsidRPr="00AA0710">
                                    <w:rPr>
                                      <w:sz w:val="21"/>
                                      <w:lang w:val="it-IT"/>
                                    </w:rPr>
                                    <w:t>95%</w:t>
                                  </w:r>
                                </w:p>
                              </w:tc>
                            </w:tr>
                            <w:tr w:rsidR="000D7057" w:rsidRPr="00AA0710" w14:paraId="08E161EF" w14:textId="77777777" w:rsidTr="006761E6">
                              <w:trPr>
                                <w:trHeight w:val="326"/>
                              </w:trPr>
                              <w:tc>
                                <w:tcPr>
                                  <w:tcW w:w="149" w:type="dxa"/>
                                  <w:tcBorders>
                                    <w:top w:val="single" w:sz="8" w:space="0" w:color="FFFFFF"/>
                                    <w:left w:val="single" w:sz="8" w:space="0" w:color="FFFFFF"/>
                                    <w:bottom w:val="single" w:sz="8" w:space="0" w:color="FFFFFF"/>
                                    <w:right w:val="single" w:sz="8" w:space="0" w:color="FFFFFF"/>
                                  </w:tcBorders>
                                  <w:shd w:val="clear" w:color="auto" w:fill="FFFFFF"/>
                                  <w:tcMar>
                                    <w:top w:w="10" w:type="dxa"/>
                                    <w:left w:w="10" w:type="dxa"/>
                                    <w:bottom w:w="0" w:type="dxa"/>
                                    <w:right w:w="10" w:type="dxa"/>
                                  </w:tcMar>
                                  <w:vAlign w:val="bottom"/>
                                  <w:hideMark/>
                                </w:tcPr>
                                <w:p w14:paraId="1155CAC6" w14:textId="77777777" w:rsidR="00AA0710" w:rsidRPr="00B461BF" w:rsidRDefault="00AA0710" w:rsidP="00AA0710">
                                  <w:pPr>
                                    <w:rPr>
                                      <w:i/>
                                      <w:sz w:val="21"/>
                                    </w:rPr>
                                  </w:pPr>
                                  <w:r w:rsidRPr="00B461BF">
                                    <w:rPr>
                                      <w:i/>
                                      <w:sz w:val="21"/>
                                    </w:rPr>
                                    <w:t>a</w:t>
                                  </w:r>
                                </w:p>
                              </w:tc>
                              <w:tc>
                                <w:tcPr>
                                  <w:tcW w:w="608" w:type="dxa"/>
                                  <w:tcBorders>
                                    <w:top w:val="single" w:sz="8" w:space="0" w:color="FFFFFF"/>
                                    <w:left w:val="single" w:sz="8" w:space="0" w:color="FFFFFF"/>
                                    <w:bottom w:val="single" w:sz="8" w:space="0" w:color="FFFFFF"/>
                                    <w:right w:val="single" w:sz="8" w:space="0" w:color="FFFFFF"/>
                                  </w:tcBorders>
                                  <w:shd w:val="clear" w:color="auto" w:fill="FFFFFF"/>
                                  <w:tcMar>
                                    <w:top w:w="10" w:type="dxa"/>
                                    <w:left w:w="10" w:type="dxa"/>
                                    <w:bottom w:w="0" w:type="dxa"/>
                                    <w:right w:w="10" w:type="dxa"/>
                                  </w:tcMar>
                                  <w:vAlign w:val="bottom"/>
                                  <w:hideMark/>
                                </w:tcPr>
                                <w:p w14:paraId="2350BFD6" w14:textId="77777777" w:rsidR="00AA0710" w:rsidRPr="00AA0710" w:rsidRDefault="00AA0710" w:rsidP="00AA0710">
                                  <w:pPr>
                                    <w:jc w:val="center"/>
                                    <w:rPr>
                                      <w:sz w:val="21"/>
                                    </w:rPr>
                                  </w:pPr>
                                  <w:r w:rsidRPr="00AA0710">
                                    <w:rPr>
                                      <w:sz w:val="21"/>
                                      <w:lang w:val="nb-NO"/>
                                    </w:rPr>
                                    <w:t>0.15</w:t>
                                  </w:r>
                                </w:p>
                              </w:tc>
                              <w:tc>
                                <w:tcPr>
                                  <w:tcW w:w="724" w:type="dxa"/>
                                  <w:tcBorders>
                                    <w:top w:val="single" w:sz="8" w:space="0" w:color="FFFFFF"/>
                                    <w:left w:val="single" w:sz="8" w:space="0" w:color="FFFFFF"/>
                                    <w:bottom w:val="single" w:sz="8" w:space="0" w:color="FFFFFF"/>
                                    <w:right w:val="single" w:sz="8" w:space="0" w:color="FFFFFF"/>
                                  </w:tcBorders>
                                  <w:shd w:val="clear" w:color="auto" w:fill="FFFFFF"/>
                                  <w:tcMar>
                                    <w:top w:w="10" w:type="dxa"/>
                                    <w:left w:w="10" w:type="dxa"/>
                                    <w:bottom w:w="0" w:type="dxa"/>
                                    <w:right w:w="10" w:type="dxa"/>
                                  </w:tcMar>
                                  <w:vAlign w:val="bottom"/>
                                  <w:hideMark/>
                                </w:tcPr>
                                <w:p w14:paraId="6BDC272B" w14:textId="77777777" w:rsidR="00AA0710" w:rsidRPr="00AA0710" w:rsidRDefault="00AA0710" w:rsidP="00AA0710">
                                  <w:pPr>
                                    <w:jc w:val="center"/>
                                    <w:rPr>
                                      <w:sz w:val="21"/>
                                    </w:rPr>
                                  </w:pPr>
                                  <w:r w:rsidRPr="00AA0710">
                                    <w:rPr>
                                      <w:sz w:val="21"/>
                                      <w:lang w:val="nb-NO"/>
                                    </w:rPr>
                                    <w:t>0.22</w:t>
                                  </w:r>
                                </w:p>
                              </w:tc>
                              <w:tc>
                                <w:tcPr>
                                  <w:tcW w:w="499" w:type="dxa"/>
                                  <w:tcBorders>
                                    <w:top w:val="single" w:sz="8" w:space="0" w:color="FFFFFF"/>
                                    <w:left w:val="single" w:sz="8" w:space="0" w:color="FFFFFF"/>
                                    <w:bottom w:val="single" w:sz="8" w:space="0" w:color="FFFFFF"/>
                                    <w:right w:val="single" w:sz="8" w:space="0" w:color="FFFFFF"/>
                                  </w:tcBorders>
                                  <w:shd w:val="clear" w:color="auto" w:fill="FFFFFF"/>
                                  <w:tcMar>
                                    <w:top w:w="10" w:type="dxa"/>
                                    <w:left w:w="10" w:type="dxa"/>
                                    <w:bottom w:w="0" w:type="dxa"/>
                                    <w:right w:w="10" w:type="dxa"/>
                                  </w:tcMar>
                                  <w:vAlign w:val="bottom"/>
                                  <w:hideMark/>
                                </w:tcPr>
                                <w:p w14:paraId="77D77FD3" w14:textId="77777777" w:rsidR="00AA0710" w:rsidRPr="00AA0710" w:rsidRDefault="00AA0710" w:rsidP="00AA0710">
                                  <w:pPr>
                                    <w:jc w:val="center"/>
                                    <w:rPr>
                                      <w:sz w:val="21"/>
                                    </w:rPr>
                                  </w:pPr>
                                  <w:r w:rsidRPr="00AA0710">
                                    <w:rPr>
                                      <w:sz w:val="21"/>
                                      <w:lang w:val="pt-BR"/>
                                    </w:rPr>
                                    <w:t>-0.21</w:t>
                                  </w:r>
                                </w:p>
                              </w:tc>
                              <w:tc>
                                <w:tcPr>
                                  <w:tcW w:w="679" w:type="dxa"/>
                                  <w:tcBorders>
                                    <w:top w:val="single" w:sz="8" w:space="0" w:color="FFFFFF"/>
                                    <w:left w:val="single" w:sz="8" w:space="0" w:color="FFFFFF"/>
                                    <w:bottom w:val="single" w:sz="8" w:space="0" w:color="FFFFFF"/>
                                    <w:right w:val="single" w:sz="8" w:space="0" w:color="FFFFFF"/>
                                  </w:tcBorders>
                                  <w:shd w:val="clear" w:color="auto" w:fill="FFFFFF"/>
                                  <w:tcMar>
                                    <w:top w:w="10" w:type="dxa"/>
                                    <w:left w:w="10" w:type="dxa"/>
                                    <w:bottom w:w="0" w:type="dxa"/>
                                    <w:right w:w="10" w:type="dxa"/>
                                  </w:tcMar>
                                  <w:vAlign w:val="bottom"/>
                                  <w:hideMark/>
                                </w:tcPr>
                                <w:p w14:paraId="214FAE60" w14:textId="77777777" w:rsidR="00AA0710" w:rsidRPr="00AA0710" w:rsidRDefault="00AA0710" w:rsidP="00AA0710">
                                  <w:pPr>
                                    <w:jc w:val="center"/>
                                    <w:rPr>
                                      <w:sz w:val="21"/>
                                    </w:rPr>
                                  </w:pPr>
                                  <w:r w:rsidRPr="00AA0710">
                                    <w:rPr>
                                      <w:sz w:val="21"/>
                                      <w:lang w:val="nb-NO"/>
                                    </w:rPr>
                                    <w:t>0.5</w:t>
                                  </w:r>
                                </w:p>
                              </w:tc>
                            </w:tr>
                            <w:tr w:rsidR="000D7057" w:rsidRPr="00AA0710" w14:paraId="71F6C984" w14:textId="77777777" w:rsidTr="006761E6">
                              <w:trPr>
                                <w:trHeight w:val="326"/>
                              </w:trPr>
                              <w:tc>
                                <w:tcPr>
                                  <w:tcW w:w="149" w:type="dxa"/>
                                  <w:tcBorders>
                                    <w:top w:val="single" w:sz="8" w:space="0" w:color="FFFFFF"/>
                                    <w:left w:val="single" w:sz="8" w:space="0" w:color="FFFFFF"/>
                                    <w:bottom w:val="single" w:sz="8" w:space="0" w:color="FFFFFF"/>
                                    <w:right w:val="single" w:sz="8" w:space="0" w:color="FFFFFF"/>
                                  </w:tcBorders>
                                  <w:shd w:val="clear" w:color="auto" w:fill="FFFFFF"/>
                                  <w:tcMar>
                                    <w:top w:w="10" w:type="dxa"/>
                                    <w:left w:w="10" w:type="dxa"/>
                                    <w:bottom w:w="0" w:type="dxa"/>
                                    <w:right w:w="10" w:type="dxa"/>
                                  </w:tcMar>
                                  <w:vAlign w:val="bottom"/>
                                  <w:hideMark/>
                                </w:tcPr>
                                <w:p w14:paraId="4976C51F" w14:textId="77777777" w:rsidR="00AA0710" w:rsidRPr="00AA0710" w:rsidRDefault="00AA0710" w:rsidP="00AA0710">
                                  <w:pPr>
                                    <w:rPr>
                                      <w:sz w:val="21"/>
                                    </w:rPr>
                                  </w:pPr>
                                  <w:r w:rsidRPr="00AA0710">
                                    <w:rPr>
                                      <w:sz w:val="21"/>
                                    </w:rPr>
                                    <w:sym w:font="Symbol" w:char="0062"/>
                                  </w:r>
                                  <w:r w:rsidRPr="00AA0710">
                                    <w:rPr>
                                      <w:sz w:val="21"/>
                                    </w:rPr>
                                    <w:t xml:space="preserve"> </w:t>
                                  </w:r>
                                </w:p>
                              </w:tc>
                              <w:tc>
                                <w:tcPr>
                                  <w:tcW w:w="608" w:type="dxa"/>
                                  <w:tcBorders>
                                    <w:top w:val="single" w:sz="8" w:space="0" w:color="FFFFFF"/>
                                    <w:left w:val="single" w:sz="8" w:space="0" w:color="FFFFFF"/>
                                    <w:bottom w:val="single" w:sz="8" w:space="0" w:color="FFFFFF"/>
                                    <w:right w:val="single" w:sz="8" w:space="0" w:color="FFFFFF"/>
                                  </w:tcBorders>
                                  <w:shd w:val="clear" w:color="auto" w:fill="FFFFFF"/>
                                  <w:tcMar>
                                    <w:top w:w="10" w:type="dxa"/>
                                    <w:left w:w="10" w:type="dxa"/>
                                    <w:bottom w:w="0" w:type="dxa"/>
                                    <w:right w:w="10" w:type="dxa"/>
                                  </w:tcMar>
                                  <w:vAlign w:val="bottom"/>
                                  <w:hideMark/>
                                </w:tcPr>
                                <w:p w14:paraId="6C75120C" w14:textId="77777777" w:rsidR="00AA0710" w:rsidRPr="00AA0710" w:rsidRDefault="00AA0710" w:rsidP="00AA0710">
                                  <w:pPr>
                                    <w:jc w:val="center"/>
                                    <w:rPr>
                                      <w:sz w:val="21"/>
                                    </w:rPr>
                                  </w:pPr>
                                  <w:r w:rsidRPr="00AA0710">
                                    <w:rPr>
                                      <w:sz w:val="21"/>
                                      <w:lang w:val="fi-FI"/>
                                    </w:rPr>
                                    <w:t>0.87</w:t>
                                  </w:r>
                                </w:p>
                              </w:tc>
                              <w:tc>
                                <w:tcPr>
                                  <w:tcW w:w="724" w:type="dxa"/>
                                  <w:tcBorders>
                                    <w:top w:val="single" w:sz="8" w:space="0" w:color="FFFFFF"/>
                                    <w:left w:val="single" w:sz="8" w:space="0" w:color="FFFFFF"/>
                                    <w:bottom w:val="single" w:sz="8" w:space="0" w:color="FFFFFF"/>
                                    <w:right w:val="single" w:sz="8" w:space="0" w:color="FFFFFF"/>
                                  </w:tcBorders>
                                  <w:shd w:val="clear" w:color="auto" w:fill="FFFFFF"/>
                                  <w:tcMar>
                                    <w:top w:w="10" w:type="dxa"/>
                                    <w:left w:w="10" w:type="dxa"/>
                                    <w:bottom w:w="0" w:type="dxa"/>
                                    <w:right w:w="10" w:type="dxa"/>
                                  </w:tcMar>
                                  <w:vAlign w:val="bottom"/>
                                  <w:hideMark/>
                                </w:tcPr>
                                <w:p w14:paraId="624243C1" w14:textId="77777777" w:rsidR="00AA0710" w:rsidRPr="00AA0710" w:rsidRDefault="00AA0710" w:rsidP="00AA0710">
                                  <w:pPr>
                                    <w:jc w:val="center"/>
                                    <w:rPr>
                                      <w:sz w:val="21"/>
                                    </w:rPr>
                                  </w:pPr>
                                  <w:r w:rsidRPr="00AA0710">
                                    <w:rPr>
                                      <w:sz w:val="21"/>
                                      <w:lang w:val="nb-NO"/>
                                    </w:rPr>
                                    <w:t>0.22</w:t>
                                  </w:r>
                                </w:p>
                              </w:tc>
                              <w:tc>
                                <w:tcPr>
                                  <w:tcW w:w="499" w:type="dxa"/>
                                  <w:tcBorders>
                                    <w:top w:val="single" w:sz="8" w:space="0" w:color="FFFFFF"/>
                                    <w:left w:val="single" w:sz="8" w:space="0" w:color="FFFFFF"/>
                                    <w:bottom w:val="single" w:sz="8" w:space="0" w:color="FFFFFF"/>
                                    <w:right w:val="single" w:sz="8" w:space="0" w:color="FFFFFF"/>
                                  </w:tcBorders>
                                  <w:shd w:val="clear" w:color="auto" w:fill="FFFFFF"/>
                                  <w:tcMar>
                                    <w:top w:w="10" w:type="dxa"/>
                                    <w:left w:w="10" w:type="dxa"/>
                                    <w:bottom w:w="0" w:type="dxa"/>
                                    <w:right w:w="10" w:type="dxa"/>
                                  </w:tcMar>
                                  <w:vAlign w:val="bottom"/>
                                  <w:hideMark/>
                                </w:tcPr>
                                <w:p w14:paraId="232E2472" w14:textId="77777777" w:rsidR="00AA0710" w:rsidRPr="00AA0710" w:rsidRDefault="00AA0710" w:rsidP="00AA0710">
                                  <w:pPr>
                                    <w:jc w:val="center"/>
                                    <w:rPr>
                                      <w:sz w:val="21"/>
                                    </w:rPr>
                                  </w:pPr>
                                  <w:r w:rsidRPr="00AA0710">
                                    <w:rPr>
                                      <w:sz w:val="21"/>
                                      <w:lang w:val="nb-NO"/>
                                    </w:rPr>
                                    <w:t>0.51</w:t>
                                  </w:r>
                                </w:p>
                              </w:tc>
                              <w:tc>
                                <w:tcPr>
                                  <w:tcW w:w="679" w:type="dxa"/>
                                  <w:tcBorders>
                                    <w:top w:val="single" w:sz="8" w:space="0" w:color="FFFFFF"/>
                                    <w:left w:val="single" w:sz="8" w:space="0" w:color="FFFFFF"/>
                                    <w:bottom w:val="single" w:sz="8" w:space="0" w:color="FFFFFF"/>
                                    <w:right w:val="single" w:sz="8" w:space="0" w:color="FFFFFF"/>
                                  </w:tcBorders>
                                  <w:shd w:val="clear" w:color="auto" w:fill="FFFFFF"/>
                                  <w:tcMar>
                                    <w:top w:w="10" w:type="dxa"/>
                                    <w:left w:w="10" w:type="dxa"/>
                                    <w:bottom w:w="0" w:type="dxa"/>
                                    <w:right w:w="10" w:type="dxa"/>
                                  </w:tcMar>
                                  <w:vAlign w:val="bottom"/>
                                  <w:hideMark/>
                                </w:tcPr>
                                <w:p w14:paraId="3C390161" w14:textId="77777777" w:rsidR="00AA0710" w:rsidRPr="00AA0710" w:rsidRDefault="00AA0710" w:rsidP="00AA0710">
                                  <w:pPr>
                                    <w:jc w:val="center"/>
                                    <w:rPr>
                                      <w:sz w:val="21"/>
                                    </w:rPr>
                                  </w:pPr>
                                  <w:r w:rsidRPr="00AA0710">
                                    <w:rPr>
                                      <w:sz w:val="21"/>
                                      <w:lang w:val="nb-NO"/>
                                    </w:rPr>
                                    <w:t>1.22</w:t>
                                  </w:r>
                                </w:p>
                              </w:tc>
                            </w:tr>
                            <w:tr w:rsidR="000D7057" w:rsidRPr="00AA0710" w14:paraId="74237170" w14:textId="77777777" w:rsidTr="006761E6">
                              <w:trPr>
                                <w:trHeight w:val="326"/>
                              </w:trPr>
                              <w:tc>
                                <w:tcPr>
                                  <w:tcW w:w="149" w:type="dxa"/>
                                  <w:tcBorders>
                                    <w:top w:val="single" w:sz="8" w:space="0" w:color="FFFFFF"/>
                                    <w:left w:val="single" w:sz="8" w:space="0" w:color="FFFFFF"/>
                                    <w:bottom w:val="single" w:sz="4" w:space="0" w:color="auto"/>
                                    <w:right w:val="single" w:sz="8" w:space="0" w:color="FFFFFF"/>
                                  </w:tcBorders>
                                  <w:shd w:val="clear" w:color="auto" w:fill="FFFFFF"/>
                                  <w:tcMar>
                                    <w:top w:w="10" w:type="dxa"/>
                                    <w:left w:w="10" w:type="dxa"/>
                                    <w:bottom w:w="0" w:type="dxa"/>
                                    <w:right w:w="10" w:type="dxa"/>
                                  </w:tcMar>
                                  <w:vAlign w:val="bottom"/>
                                  <w:hideMark/>
                                </w:tcPr>
                                <w:p w14:paraId="239DC0A5" w14:textId="77777777" w:rsidR="00AA0710" w:rsidRPr="00AA0710" w:rsidRDefault="00AA0710" w:rsidP="00AA0710">
                                  <w:pPr>
                                    <w:rPr>
                                      <w:sz w:val="21"/>
                                    </w:rPr>
                                  </w:pPr>
                                  <w:r w:rsidRPr="00AA0710">
                                    <w:rPr>
                                      <w:sz w:val="21"/>
                                    </w:rPr>
                                    <w:sym w:font="Symbol" w:char="0073"/>
                                  </w:r>
                                  <w:r w:rsidRPr="00AA0710">
                                    <w:rPr>
                                      <w:sz w:val="21"/>
                                    </w:rPr>
                                    <w:t xml:space="preserve"> </w:t>
                                  </w:r>
                                </w:p>
                              </w:tc>
                              <w:tc>
                                <w:tcPr>
                                  <w:tcW w:w="608" w:type="dxa"/>
                                  <w:tcBorders>
                                    <w:top w:val="single" w:sz="8" w:space="0" w:color="FFFFFF"/>
                                    <w:left w:val="single" w:sz="8" w:space="0" w:color="FFFFFF"/>
                                    <w:bottom w:val="single" w:sz="4" w:space="0" w:color="auto"/>
                                    <w:right w:val="single" w:sz="8" w:space="0" w:color="FFFFFF"/>
                                  </w:tcBorders>
                                  <w:shd w:val="clear" w:color="auto" w:fill="FFFFFF"/>
                                  <w:tcMar>
                                    <w:top w:w="10" w:type="dxa"/>
                                    <w:left w:w="10" w:type="dxa"/>
                                    <w:bottom w:w="0" w:type="dxa"/>
                                    <w:right w:w="10" w:type="dxa"/>
                                  </w:tcMar>
                                  <w:vAlign w:val="bottom"/>
                                  <w:hideMark/>
                                </w:tcPr>
                                <w:p w14:paraId="75F43ECC" w14:textId="77777777" w:rsidR="00AA0710" w:rsidRPr="00AA0710" w:rsidRDefault="00AA0710" w:rsidP="00AA0710">
                                  <w:pPr>
                                    <w:jc w:val="center"/>
                                    <w:rPr>
                                      <w:sz w:val="21"/>
                                    </w:rPr>
                                  </w:pPr>
                                  <w:r w:rsidRPr="00AA0710">
                                    <w:rPr>
                                      <w:sz w:val="21"/>
                                      <w:lang w:val="nb-NO"/>
                                    </w:rPr>
                                    <w:t>0.91</w:t>
                                  </w:r>
                                </w:p>
                              </w:tc>
                              <w:tc>
                                <w:tcPr>
                                  <w:tcW w:w="724" w:type="dxa"/>
                                  <w:tcBorders>
                                    <w:top w:val="single" w:sz="8" w:space="0" w:color="FFFFFF"/>
                                    <w:left w:val="single" w:sz="8" w:space="0" w:color="FFFFFF"/>
                                    <w:bottom w:val="single" w:sz="4" w:space="0" w:color="auto"/>
                                    <w:right w:val="single" w:sz="8" w:space="0" w:color="FFFFFF"/>
                                  </w:tcBorders>
                                  <w:shd w:val="clear" w:color="auto" w:fill="FFFFFF"/>
                                  <w:tcMar>
                                    <w:top w:w="10" w:type="dxa"/>
                                    <w:left w:w="10" w:type="dxa"/>
                                    <w:bottom w:w="0" w:type="dxa"/>
                                    <w:right w:w="10" w:type="dxa"/>
                                  </w:tcMar>
                                  <w:vAlign w:val="bottom"/>
                                  <w:hideMark/>
                                </w:tcPr>
                                <w:p w14:paraId="361A158A" w14:textId="77777777" w:rsidR="00AA0710" w:rsidRPr="00AA0710" w:rsidRDefault="00AA0710" w:rsidP="00AA0710">
                                  <w:pPr>
                                    <w:jc w:val="center"/>
                                    <w:rPr>
                                      <w:sz w:val="21"/>
                                    </w:rPr>
                                  </w:pPr>
                                  <w:r w:rsidRPr="00AA0710">
                                    <w:rPr>
                                      <w:sz w:val="21"/>
                                      <w:lang w:val="nb-NO"/>
                                    </w:rPr>
                                    <w:t>0.15</w:t>
                                  </w:r>
                                </w:p>
                              </w:tc>
                              <w:tc>
                                <w:tcPr>
                                  <w:tcW w:w="499" w:type="dxa"/>
                                  <w:tcBorders>
                                    <w:top w:val="single" w:sz="8" w:space="0" w:color="FFFFFF"/>
                                    <w:left w:val="single" w:sz="8" w:space="0" w:color="FFFFFF"/>
                                    <w:bottom w:val="single" w:sz="4" w:space="0" w:color="auto"/>
                                    <w:right w:val="single" w:sz="8" w:space="0" w:color="FFFFFF"/>
                                  </w:tcBorders>
                                  <w:shd w:val="clear" w:color="auto" w:fill="FFFFFF"/>
                                  <w:tcMar>
                                    <w:top w:w="10" w:type="dxa"/>
                                    <w:left w:w="10" w:type="dxa"/>
                                    <w:bottom w:w="0" w:type="dxa"/>
                                    <w:right w:w="10" w:type="dxa"/>
                                  </w:tcMar>
                                  <w:vAlign w:val="bottom"/>
                                  <w:hideMark/>
                                </w:tcPr>
                                <w:p w14:paraId="21B92BAC" w14:textId="77777777" w:rsidR="00AA0710" w:rsidRPr="00AA0710" w:rsidRDefault="00AA0710" w:rsidP="00AA0710">
                                  <w:pPr>
                                    <w:jc w:val="center"/>
                                    <w:rPr>
                                      <w:sz w:val="21"/>
                                    </w:rPr>
                                  </w:pPr>
                                  <w:r w:rsidRPr="00AA0710">
                                    <w:rPr>
                                      <w:sz w:val="21"/>
                                      <w:lang w:val="nb-NO"/>
                                    </w:rPr>
                                    <w:t>0.66</w:t>
                                  </w:r>
                                </w:p>
                              </w:tc>
                              <w:tc>
                                <w:tcPr>
                                  <w:tcW w:w="679" w:type="dxa"/>
                                  <w:tcBorders>
                                    <w:top w:val="single" w:sz="8" w:space="0" w:color="FFFFFF"/>
                                    <w:left w:val="single" w:sz="8" w:space="0" w:color="FFFFFF"/>
                                    <w:bottom w:val="single" w:sz="4" w:space="0" w:color="auto"/>
                                    <w:right w:val="single" w:sz="8" w:space="0" w:color="FFFFFF"/>
                                  </w:tcBorders>
                                  <w:shd w:val="clear" w:color="auto" w:fill="FFFFFF"/>
                                  <w:tcMar>
                                    <w:top w:w="10" w:type="dxa"/>
                                    <w:left w:w="10" w:type="dxa"/>
                                    <w:bottom w:w="0" w:type="dxa"/>
                                    <w:right w:w="10" w:type="dxa"/>
                                  </w:tcMar>
                                  <w:vAlign w:val="bottom"/>
                                  <w:hideMark/>
                                </w:tcPr>
                                <w:p w14:paraId="57CD2579" w14:textId="77777777" w:rsidR="00AA0710" w:rsidRPr="00AA0710" w:rsidRDefault="00AA0710" w:rsidP="00AA0710">
                                  <w:pPr>
                                    <w:jc w:val="center"/>
                                    <w:rPr>
                                      <w:sz w:val="21"/>
                                    </w:rPr>
                                  </w:pPr>
                                  <w:r w:rsidRPr="00AA0710">
                                    <w:rPr>
                                      <w:sz w:val="21"/>
                                      <w:lang w:val="nb-NO"/>
                                    </w:rPr>
                                    <w:t>1.17</w:t>
                                  </w:r>
                                </w:p>
                              </w:tc>
                            </w:tr>
                          </w:tbl>
                          <w:p w14:paraId="5F980B93" w14:textId="533486DC" w:rsidR="00356DB4" w:rsidRPr="00104A51" w:rsidRDefault="00356DB4">
                            <w:pPr>
                              <w:rPr>
                                <w:sz w:val="21"/>
                              </w:rPr>
                            </w:pPr>
                            <w:r w:rsidRPr="00104A51">
                              <w:rPr>
                                <w:sz w:val="21"/>
                              </w:rPr>
                              <w:t xml:space="preserve">Figure 4: </w:t>
                            </w:r>
                            <w:r w:rsidR="00FD2C4A">
                              <w:rPr>
                                <w:sz w:val="21"/>
                              </w:rPr>
                              <w:t>Posteriors for l</w:t>
                            </w:r>
                            <w:r w:rsidRPr="00104A51">
                              <w:rPr>
                                <w:sz w:val="21"/>
                              </w:rPr>
                              <w:t xml:space="preserve">inear </w:t>
                            </w:r>
                            <w:r w:rsidR="00FD2C4A">
                              <w:rPr>
                                <w:sz w:val="21"/>
                              </w:rPr>
                              <w:t xml:space="preserve">model of </w:t>
                            </w:r>
                            <w:r w:rsidRPr="00104A51">
                              <w:rPr>
                                <w:sz w:val="21"/>
                              </w:rPr>
                              <w:t>fitness</w:t>
                            </w:r>
                            <w:r w:rsidR="00FD2C4A">
                              <w:rPr>
                                <w:sz w:val="21"/>
                              </w:rPr>
                              <w:t xml:space="preserve"> index based on GBM-match</w:t>
                            </w:r>
                            <w:r w:rsidRPr="00104A51">
                              <w:rPr>
                                <w:sz w:val="21"/>
                              </w:rPr>
                              <w:t>.</w:t>
                            </w:r>
                            <w:r w:rsidR="00104A51">
                              <w:rPr>
                                <w:sz w:val="21"/>
                              </w:rPr>
                              <w:t xml:space="preserve"> Line traces the MAP values for the mean of the fitness index as it relates to GBM match.</w:t>
                            </w:r>
                            <w:r w:rsidRPr="00104A51">
                              <w:rPr>
                                <w:sz w:val="21"/>
                              </w:rPr>
                              <w:t xml:space="preserve"> Dark grey shading shows 90% intervals for the mean, light grey shading shows 90% </w:t>
                            </w:r>
                            <w:r w:rsidR="00104A51" w:rsidRPr="00104A51">
                              <w:rPr>
                                <w:sz w:val="21"/>
                              </w:rPr>
                              <w:t>prediction interval</w:t>
                            </w:r>
                            <w:r w:rsidRPr="00104A51">
                              <w:rPr>
                                <w:sz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62BA8F" id="Text Box 1" o:spid="_x0000_s1028" type="#_x0000_t202" style="position:absolute;left:0;text-align:left;margin-left:.6pt;margin-top:265.5pt;width:135.1pt;height:364.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" filled="f" strokecolor="black [3213]">
                <v:textbox>
                  <w:txbxContent>
                    <w:p w14:paraId="489AF379" w14:textId="77777777" w:rsidR="00AA0710" w:rsidRDefault="00AA0710">
                      <w:r w:rsidRPr="00AA0710">
                        <w:rPr>
                          <w:noProof/>
                        </w:rPr>
                        <w:drawing>
                          <wp:inline distT="0" distB="0" distL="0" distR="0" wp14:anchorId="763AA07D" wp14:editId="41792F20">
                            <wp:extent cx="1459326" cy="1786890"/>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6"/>
                                    <a:srcRect l="1920" r="10768"/>
                                    <a:stretch/>
                                  </pic:blipFill>
                                  <pic:spPr bwMode="auto">
                                    <a:xfrm>
                                      <a:off x="0" y="0"/>
                                      <a:ext cx="1460081" cy="1787814"/>
                                    </a:xfrm>
                                    <a:prstGeom prst="rect">
                                      <a:avLst/>
                                    </a:prstGeom>
                                    <a:ln>
                                      <a:noFill/>
                                    </a:ln>
                                    <a:extLst>
                                      <a:ext uri="{53640926-AAD7-44D8-BBD7-CCE9431645EC}">
                                        <a14:shadowObscured xmlns:a14="http://schemas.microsoft.com/office/drawing/2010/main"/>
                                      </a:ext>
                                    </a:extLst>
                                  </pic:spPr>
                                </pic:pic>
                              </a:graphicData>
                            </a:graphic>
                          </wp:inline>
                        </w:drawing>
                      </w:r>
                    </w:p>
                    <w:p w14:paraId="3C562329" w14:textId="7AE54EB6" w:rsidR="00AA0710" w:rsidRPr="00356DB4" w:rsidRDefault="00AA0710" w:rsidP="00AA0710">
                      <w:pPr>
                        <w:jc w:val="center"/>
                        <w:rPr>
                          <w:b/>
                          <w:sz w:val="21"/>
                        </w:rPr>
                      </w:pPr>
                      <w:r w:rsidRPr="00356DB4">
                        <w:rPr>
                          <w:b/>
                          <w:sz w:val="21"/>
                        </w:rPr>
                        <w:t>Estimate Summary:</w:t>
                      </w:r>
                    </w:p>
                    <w:tbl>
                      <w:tblPr>
                        <w:tblW w:w="2659" w:type="dxa"/>
                        <w:tblInd w:w="-106" w:type="dxa"/>
                        <w:tblCellMar>
                          <w:left w:w="0" w:type="dxa"/>
                          <w:right w:w="0" w:type="dxa"/>
                        </w:tblCellMar>
                        <w:tblLook w:val="0600" w:firstRow="0" w:lastRow="0" w:firstColumn="0" w:lastColumn="0" w:noHBand="1" w:noVBand="1"/>
                      </w:tblPr>
                      <w:tblGrid>
                        <w:gridCol w:w="149"/>
                        <w:gridCol w:w="608"/>
                        <w:gridCol w:w="724"/>
                        <w:gridCol w:w="499"/>
                        <w:gridCol w:w="679"/>
                      </w:tblGrid>
                      <w:tr w:rsidR="000D7057" w:rsidRPr="00AA0710" w14:paraId="2D64DBEC" w14:textId="77777777" w:rsidTr="006761E6">
                        <w:trPr>
                          <w:trHeight w:val="326"/>
                        </w:trPr>
                        <w:tc>
                          <w:tcPr>
                            <w:tcW w:w="149" w:type="dxa"/>
                            <w:tcBorders>
                              <w:top w:val="single" w:sz="8" w:space="0" w:color="FFFFFF"/>
                              <w:left w:val="single" w:sz="8" w:space="0" w:color="FFFFFF"/>
                              <w:bottom w:val="single" w:sz="8" w:space="0" w:color="FFFFFF"/>
                              <w:right w:val="single" w:sz="8" w:space="0" w:color="FFFFFF"/>
                            </w:tcBorders>
                            <w:shd w:val="clear" w:color="auto" w:fill="FFFFFF"/>
                            <w:tcMar>
                              <w:top w:w="10" w:type="dxa"/>
                              <w:left w:w="10" w:type="dxa"/>
                              <w:bottom w:w="0" w:type="dxa"/>
                              <w:right w:w="10" w:type="dxa"/>
                            </w:tcMar>
                            <w:vAlign w:val="bottom"/>
                            <w:hideMark/>
                          </w:tcPr>
                          <w:p w14:paraId="7B7B4125" w14:textId="77777777" w:rsidR="00AA0710" w:rsidRPr="00AA0710" w:rsidRDefault="00AA0710" w:rsidP="00AA0710">
                            <w:pPr>
                              <w:rPr>
                                <w:sz w:val="21"/>
                              </w:rPr>
                            </w:pPr>
                          </w:p>
                        </w:tc>
                        <w:tc>
                          <w:tcPr>
                            <w:tcW w:w="608" w:type="dxa"/>
                            <w:tcBorders>
                              <w:top w:val="single" w:sz="8" w:space="0" w:color="FFFFFF"/>
                              <w:left w:val="single" w:sz="8" w:space="0" w:color="FFFFFF"/>
                              <w:bottom w:val="single" w:sz="8" w:space="0" w:color="FFFFFF"/>
                              <w:right w:val="single" w:sz="8" w:space="0" w:color="FFFFFF"/>
                            </w:tcBorders>
                            <w:shd w:val="clear" w:color="auto" w:fill="FFFFFF"/>
                            <w:tcMar>
                              <w:top w:w="10" w:type="dxa"/>
                              <w:left w:w="10" w:type="dxa"/>
                              <w:bottom w:w="0" w:type="dxa"/>
                              <w:right w:w="10" w:type="dxa"/>
                            </w:tcMar>
                            <w:vAlign w:val="center"/>
                            <w:hideMark/>
                          </w:tcPr>
                          <w:p w14:paraId="427F20A0" w14:textId="77777777" w:rsidR="00AA0710" w:rsidRPr="00AA0710" w:rsidRDefault="00AA0710" w:rsidP="00AA0710">
                            <w:pPr>
                              <w:rPr>
                                <w:sz w:val="21"/>
                              </w:rPr>
                            </w:pPr>
                            <w:r w:rsidRPr="00AA0710">
                              <w:rPr>
                                <w:sz w:val="21"/>
                              </w:rPr>
                              <w:t>Mean</w:t>
                            </w:r>
                          </w:p>
                        </w:tc>
                        <w:tc>
                          <w:tcPr>
                            <w:tcW w:w="724" w:type="dxa"/>
                            <w:tcBorders>
                              <w:top w:val="single" w:sz="8" w:space="0" w:color="FFFFFF"/>
                              <w:left w:val="single" w:sz="8" w:space="0" w:color="FFFFFF"/>
                              <w:bottom w:val="single" w:sz="8" w:space="0" w:color="FFFFFF"/>
                              <w:right w:val="single" w:sz="8" w:space="0" w:color="FFFFFF"/>
                            </w:tcBorders>
                            <w:shd w:val="clear" w:color="auto" w:fill="FFFFFF"/>
                            <w:tcMar>
                              <w:top w:w="10" w:type="dxa"/>
                              <w:left w:w="10" w:type="dxa"/>
                              <w:bottom w:w="0" w:type="dxa"/>
                              <w:right w:w="10" w:type="dxa"/>
                            </w:tcMar>
                            <w:vAlign w:val="center"/>
                            <w:hideMark/>
                          </w:tcPr>
                          <w:p w14:paraId="22138174" w14:textId="77777777" w:rsidR="00AA0710" w:rsidRPr="00AA0710" w:rsidRDefault="00AA0710" w:rsidP="00AA0710">
                            <w:pPr>
                              <w:rPr>
                                <w:sz w:val="21"/>
                              </w:rPr>
                            </w:pPr>
                            <w:proofErr w:type="spellStart"/>
                            <w:r w:rsidRPr="00AA0710">
                              <w:rPr>
                                <w:sz w:val="21"/>
                              </w:rPr>
                              <w:t>StdDev</w:t>
                            </w:r>
                            <w:proofErr w:type="spellEnd"/>
                          </w:p>
                        </w:tc>
                        <w:tc>
                          <w:tcPr>
                            <w:tcW w:w="499" w:type="dxa"/>
                            <w:tcBorders>
                              <w:top w:val="single" w:sz="8" w:space="0" w:color="FFFFFF"/>
                              <w:left w:val="single" w:sz="8" w:space="0" w:color="FFFFFF"/>
                              <w:bottom w:val="single" w:sz="8" w:space="0" w:color="FFFFFF"/>
                              <w:right w:val="single" w:sz="8" w:space="0" w:color="FFFFFF"/>
                            </w:tcBorders>
                            <w:shd w:val="clear" w:color="auto" w:fill="FFFFFF"/>
                            <w:tcMar>
                              <w:top w:w="10" w:type="dxa"/>
                              <w:left w:w="10" w:type="dxa"/>
                              <w:bottom w:w="0" w:type="dxa"/>
                              <w:right w:w="10" w:type="dxa"/>
                            </w:tcMar>
                            <w:vAlign w:val="center"/>
                            <w:hideMark/>
                          </w:tcPr>
                          <w:p w14:paraId="615A051F" w14:textId="77777777" w:rsidR="00AA0710" w:rsidRPr="00AA0710" w:rsidRDefault="00AA0710" w:rsidP="00AA0710">
                            <w:pPr>
                              <w:rPr>
                                <w:sz w:val="21"/>
                              </w:rPr>
                            </w:pPr>
                            <w:r w:rsidRPr="00AA0710">
                              <w:rPr>
                                <w:sz w:val="21"/>
                                <w:lang w:val="it-IT"/>
                              </w:rPr>
                              <w:t>5%</w:t>
                            </w:r>
                          </w:p>
                        </w:tc>
                        <w:tc>
                          <w:tcPr>
                            <w:tcW w:w="679" w:type="dxa"/>
                            <w:tcBorders>
                              <w:top w:val="single" w:sz="8" w:space="0" w:color="FFFFFF"/>
                              <w:left w:val="single" w:sz="8" w:space="0" w:color="FFFFFF"/>
                              <w:bottom w:val="single" w:sz="8" w:space="0" w:color="FFFFFF"/>
                              <w:right w:val="single" w:sz="8" w:space="0" w:color="FFFFFF"/>
                            </w:tcBorders>
                            <w:shd w:val="clear" w:color="auto" w:fill="FFFFFF"/>
                            <w:tcMar>
                              <w:top w:w="10" w:type="dxa"/>
                              <w:left w:w="10" w:type="dxa"/>
                              <w:bottom w:w="0" w:type="dxa"/>
                              <w:right w:w="10" w:type="dxa"/>
                            </w:tcMar>
                            <w:vAlign w:val="center"/>
                            <w:hideMark/>
                          </w:tcPr>
                          <w:p w14:paraId="55836920" w14:textId="77777777" w:rsidR="00AA0710" w:rsidRPr="00AA0710" w:rsidRDefault="00AA0710" w:rsidP="00AA0710">
                            <w:pPr>
                              <w:rPr>
                                <w:sz w:val="21"/>
                              </w:rPr>
                            </w:pPr>
                            <w:r w:rsidRPr="00AA0710">
                              <w:rPr>
                                <w:sz w:val="21"/>
                                <w:lang w:val="it-IT"/>
                              </w:rPr>
                              <w:t>95%</w:t>
                            </w:r>
                          </w:p>
                        </w:tc>
                      </w:tr>
                      <w:tr w:rsidR="000D7057" w:rsidRPr="00AA0710" w14:paraId="08E161EF" w14:textId="77777777" w:rsidTr="006761E6">
                        <w:trPr>
                          <w:trHeight w:val="326"/>
                        </w:trPr>
                        <w:tc>
                          <w:tcPr>
                            <w:tcW w:w="149" w:type="dxa"/>
                            <w:tcBorders>
                              <w:top w:val="single" w:sz="8" w:space="0" w:color="FFFFFF"/>
                              <w:left w:val="single" w:sz="8" w:space="0" w:color="FFFFFF"/>
                              <w:bottom w:val="single" w:sz="8" w:space="0" w:color="FFFFFF"/>
                              <w:right w:val="single" w:sz="8" w:space="0" w:color="FFFFFF"/>
                            </w:tcBorders>
                            <w:shd w:val="clear" w:color="auto" w:fill="FFFFFF"/>
                            <w:tcMar>
                              <w:top w:w="10" w:type="dxa"/>
                              <w:left w:w="10" w:type="dxa"/>
                              <w:bottom w:w="0" w:type="dxa"/>
                              <w:right w:w="10" w:type="dxa"/>
                            </w:tcMar>
                            <w:vAlign w:val="bottom"/>
                            <w:hideMark/>
                          </w:tcPr>
                          <w:p w14:paraId="1155CAC6" w14:textId="77777777" w:rsidR="00AA0710" w:rsidRPr="00B461BF" w:rsidRDefault="00AA0710" w:rsidP="00AA0710">
                            <w:pPr>
                              <w:rPr>
                                <w:i/>
                                <w:sz w:val="21"/>
                              </w:rPr>
                            </w:pPr>
                            <w:r w:rsidRPr="00B461BF">
                              <w:rPr>
                                <w:i/>
                                <w:sz w:val="21"/>
                              </w:rPr>
                              <w:t>a</w:t>
                            </w:r>
                          </w:p>
                        </w:tc>
                        <w:tc>
                          <w:tcPr>
                            <w:tcW w:w="608" w:type="dxa"/>
                            <w:tcBorders>
                              <w:top w:val="single" w:sz="8" w:space="0" w:color="FFFFFF"/>
                              <w:left w:val="single" w:sz="8" w:space="0" w:color="FFFFFF"/>
                              <w:bottom w:val="single" w:sz="8" w:space="0" w:color="FFFFFF"/>
                              <w:right w:val="single" w:sz="8" w:space="0" w:color="FFFFFF"/>
                            </w:tcBorders>
                            <w:shd w:val="clear" w:color="auto" w:fill="FFFFFF"/>
                            <w:tcMar>
                              <w:top w:w="10" w:type="dxa"/>
                              <w:left w:w="10" w:type="dxa"/>
                              <w:bottom w:w="0" w:type="dxa"/>
                              <w:right w:w="10" w:type="dxa"/>
                            </w:tcMar>
                            <w:vAlign w:val="bottom"/>
                            <w:hideMark/>
                          </w:tcPr>
                          <w:p w14:paraId="2350BFD6" w14:textId="77777777" w:rsidR="00AA0710" w:rsidRPr="00AA0710" w:rsidRDefault="00AA0710" w:rsidP="00AA0710">
                            <w:pPr>
                              <w:jc w:val="center"/>
                              <w:rPr>
                                <w:sz w:val="21"/>
                              </w:rPr>
                            </w:pPr>
                            <w:r w:rsidRPr="00AA0710">
                              <w:rPr>
                                <w:sz w:val="21"/>
                                <w:lang w:val="nb-NO"/>
                              </w:rPr>
                              <w:t>0.15</w:t>
                            </w:r>
                          </w:p>
                        </w:tc>
                        <w:tc>
                          <w:tcPr>
                            <w:tcW w:w="724" w:type="dxa"/>
                            <w:tcBorders>
                              <w:top w:val="single" w:sz="8" w:space="0" w:color="FFFFFF"/>
                              <w:left w:val="single" w:sz="8" w:space="0" w:color="FFFFFF"/>
                              <w:bottom w:val="single" w:sz="8" w:space="0" w:color="FFFFFF"/>
                              <w:right w:val="single" w:sz="8" w:space="0" w:color="FFFFFF"/>
                            </w:tcBorders>
                            <w:shd w:val="clear" w:color="auto" w:fill="FFFFFF"/>
                            <w:tcMar>
                              <w:top w:w="10" w:type="dxa"/>
                              <w:left w:w="10" w:type="dxa"/>
                              <w:bottom w:w="0" w:type="dxa"/>
                              <w:right w:w="10" w:type="dxa"/>
                            </w:tcMar>
                            <w:vAlign w:val="bottom"/>
                            <w:hideMark/>
                          </w:tcPr>
                          <w:p w14:paraId="6BDC272B" w14:textId="77777777" w:rsidR="00AA0710" w:rsidRPr="00AA0710" w:rsidRDefault="00AA0710" w:rsidP="00AA0710">
                            <w:pPr>
                              <w:jc w:val="center"/>
                              <w:rPr>
                                <w:sz w:val="21"/>
                              </w:rPr>
                            </w:pPr>
                            <w:r w:rsidRPr="00AA0710">
                              <w:rPr>
                                <w:sz w:val="21"/>
                                <w:lang w:val="nb-NO"/>
                              </w:rPr>
                              <w:t>0.22</w:t>
                            </w:r>
                          </w:p>
                        </w:tc>
                        <w:tc>
                          <w:tcPr>
                            <w:tcW w:w="499" w:type="dxa"/>
                            <w:tcBorders>
                              <w:top w:val="single" w:sz="8" w:space="0" w:color="FFFFFF"/>
                              <w:left w:val="single" w:sz="8" w:space="0" w:color="FFFFFF"/>
                              <w:bottom w:val="single" w:sz="8" w:space="0" w:color="FFFFFF"/>
                              <w:right w:val="single" w:sz="8" w:space="0" w:color="FFFFFF"/>
                            </w:tcBorders>
                            <w:shd w:val="clear" w:color="auto" w:fill="FFFFFF"/>
                            <w:tcMar>
                              <w:top w:w="10" w:type="dxa"/>
                              <w:left w:w="10" w:type="dxa"/>
                              <w:bottom w:w="0" w:type="dxa"/>
                              <w:right w:w="10" w:type="dxa"/>
                            </w:tcMar>
                            <w:vAlign w:val="bottom"/>
                            <w:hideMark/>
                          </w:tcPr>
                          <w:p w14:paraId="77D77FD3" w14:textId="77777777" w:rsidR="00AA0710" w:rsidRPr="00AA0710" w:rsidRDefault="00AA0710" w:rsidP="00AA0710">
                            <w:pPr>
                              <w:jc w:val="center"/>
                              <w:rPr>
                                <w:sz w:val="21"/>
                              </w:rPr>
                            </w:pPr>
                            <w:r w:rsidRPr="00AA0710">
                              <w:rPr>
                                <w:sz w:val="21"/>
                                <w:lang w:val="pt-BR"/>
                              </w:rPr>
                              <w:t>-0.21</w:t>
                            </w:r>
                          </w:p>
                        </w:tc>
                        <w:tc>
                          <w:tcPr>
                            <w:tcW w:w="679" w:type="dxa"/>
                            <w:tcBorders>
                              <w:top w:val="single" w:sz="8" w:space="0" w:color="FFFFFF"/>
                              <w:left w:val="single" w:sz="8" w:space="0" w:color="FFFFFF"/>
                              <w:bottom w:val="single" w:sz="8" w:space="0" w:color="FFFFFF"/>
                              <w:right w:val="single" w:sz="8" w:space="0" w:color="FFFFFF"/>
                            </w:tcBorders>
                            <w:shd w:val="clear" w:color="auto" w:fill="FFFFFF"/>
                            <w:tcMar>
                              <w:top w:w="10" w:type="dxa"/>
                              <w:left w:w="10" w:type="dxa"/>
                              <w:bottom w:w="0" w:type="dxa"/>
                              <w:right w:w="10" w:type="dxa"/>
                            </w:tcMar>
                            <w:vAlign w:val="bottom"/>
                            <w:hideMark/>
                          </w:tcPr>
                          <w:p w14:paraId="214FAE60" w14:textId="77777777" w:rsidR="00AA0710" w:rsidRPr="00AA0710" w:rsidRDefault="00AA0710" w:rsidP="00AA0710">
                            <w:pPr>
                              <w:jc w:val="center"/>
                              <w:rPr>
                                <w:sz w:val="21"/>
                              </w:rPr>
                            </w:pPr>
                            <w:r w:rsidRPr="00AA0710">
                              <w:rPr>
                                <w:sz w:val="21"/>
                                <w:lang w:val="nb-NO"/>
                              </w:rPr>
                              <w:t>0.5</w:t>
                            </w:r>
                          </w:p>
                        </w:tc>
                      </w:tr>
                      <w:tr w:rsidR="000D7057" w:rsidRPr="00AA0710" w14:paraId="71F6C984" w14:textId="77777777" w:rsidTr="006761E6">
                        <w:trPr>
                          <w:trHeight w:val="326"/>
                        </w:trPr>
                        <w:tc>
                          <w:tcPr>
                            <w:tcW w:w="149" w:type="dxa"/>
                            <w:tcBorders>
                              <w:top w:val="single" w:sz="8" w:space="0" w:color="FFFFFF"/>
                              <w:left w:val="single" w:sz="8" w:space="0" w:color="FFFFFF"/>
                              <w:bottom w:val="single" w:sz="8" w:space="0" w:color="FFFFFF"/>
                              <w:right w:val="single" w:sz="8" w:space="0" w:color="FFFFFF"/>
                            </w:tcBorders>
                            <w:shd w:val="clear" w:color="auto" w:fill="FFFFFF"/>
                            <w:tcMar>
                              <w:top w:w="10" w:type="dxa"/>
                              <w:left w:w="10" w:type="dxa"/>
                              <w:bottom w:w="0" w:type="dxa"/>
                              <w:right w:w="10" w:type="dxa"/>
                            </w:tcMar>
                            <w:vAlign w:val="bottom"/>
                            <w:hideMark/>
                          </w:tcPr>
                          <w:p w14:paraId="4976C51F" w14:textId="77777777" w:rsidR="00AA0710" w:rsidRPr="00AA0710" w:rsidRDefault="00AA0710" w:rsidP="00AA0710">
                            <w:pPr>
                              <w:rPr>
                                <w:sz w:val="21"/>
                              </w:rPr>
                            </w:pPr>
                            <w:r w:rsidRPr="00AA0710">
                              <w:rPr>
                                <w:sz w:val="21"/>
                              </w:rPr>
                              <w:sym w:font="Symbol" w:char="0062"/>
                            </w:r>
                            <w:r w:rsidRPr="00AA0710">
                              <w:rPr>
                                <w:sz w:val="21"/>
                              </w:rPr>
                              <w:t xml:space="preserve"> </w:t>
                            </w:r>
                          </w:p>
                        </w:tc>
                        <w:tc>
                          <w:tcPr>
                            <w:tcW w:w="608" w:type="dxa"/>
                            <w:tcBorders>
                              <w:top w:val="single" w:sz="8" w:space="0" w:color="FFFFFF"/>
                              <w:left w:val="single" w:sz="8" w:space="0" w:color="FFFFFF"/>
                              <w:bottom w:val="single" w:sz="8" w:space="0" w:color="FFFFFF"/>
                              <w:right w:val="single" w:sz="8" w:space="0" w:color="FFFFFF"/>
                            </w:tcBorders>
                            <w:shd w:val="clear" w:color="auto" w:fill="FFFFFF"/>
                            <w:tcMar>
                              <w:top w:w="10" w:type="dxa"/>
                              <w:left w:w="10" w:type="dxa"/>
                              <w:bottom w:w="0" w:type="dxa"/>
                              <w:right w:w="10" w:type="dxa"/>
                            </w:tcMar>
                            <w:vAlign w:val="bottom"/>
                            <w:hideMark/>
                          </w:tcPr>
                          <w:p w14:paraId="6C75120C" w14:textId="77777777" w:rsidR="00AA0710" w:rsidRPr="00AA0710" w:rsidRDefault="00AA0710" w:rsidP="00AA0710">
                            <w:pPr>
                              <w:jc w:val="center"/>
                              <w:rPr>
                                <w:sz w:val="21"/>
                              </w:rPr>
                            </w:pPr>
                            <w:r w:rsidRPr="00AA0710">
                              <w:rPr>
                                <w:sz w:val="21"/>
                                <w:lang w:val="fi-FI"/>
                              </w:rPr>
                              <w:t>0.87</w:t>
                            </w:r>
                          </w:p>
                        </w:tc>
                        <w:tc>
                          <w:tcPr>
                            <w:tcW w:w="724" w:type="dxa"/>
                            <w:tcBorders>
                              <w:top w:val="single" w:sz="8" w:space="0" w:color="FFFFFF"/>
                              <w:left w:val="single" w:sz="8" w:space="0" w:color="FFFFFF"/>
                              <w:bottom w:val="single" w:sz="8" w:space="0" w:color="FFFFFF"/>
                              <w:right w:val="single" w:sz="8" w:space="0" w:color="FFFFFF"/>
                            </w:tcBorders>
                            <w:shd w:val="clear" w:color="auto" w:fill="FFFFFF"/>
                            <w:tcMar>
                              <w:top w:w="10" w:type="dxa"/>
                              <w:left w:w="10" w:type="dxa"/>
                              <w:bottom w:w="0" w:type="dxa"/>
                              <w:right w:w="10" w:type="dxa"/>
                            </w:tcMar>
                            <w:vAlign w:val="bottom"/>
                            <w:hideMark/>
                          </w:tcPr>
                          <w:p w14:paraId="624243C1" w14:textId="77777777" w:rsidR="00AA0710" w:rsidRPr="00AA0710" w:rsidRDefault="00AA0710" w:rsidP="00AA0710">
                            <w:pPr>
                              <w:jc w:val="center"/>
                              <w:rPr>
                                <w:sz w:val="21"/>
                              </w:rPr>
                            </w:pPr>
                            <w:r w:rsidRPr="00AA0710">
                              <w:rPr>
                                <w:sz w:val="21"/>
                                <w:lang w:val="nb-NO"/>
                              </w:rPr>
                              <w:t>0.22</w:t>
                            </w:r>
                          </w:p>
                        </w:tc>
                        <w:tc>
                          <w:tcPr>
                            <w:tcW w:w="499" w:type="dxa"/>
                            <w:tcBorders>
                              <w:top w:val="single" w:sz="8" w:space="0" w:color="FFFFFF"/>
                              <w:left w:val="single" w:sz="8" w:space="0" w:color="FFFFFF"/>
                              <w:bottom w:val="single" w:sz="8" w:space="0" w:color="FFFFFF"/>
                              <w:right w:val="single" w:sz="8" w:space="0" w:color="FFFFFF"/>
                            </w:tcBorders>
                            <w:shd w:val="clear" w:color="auto" w:fill="FFFFFF"/>
                            <w:tcMar>
                              <w:top w:w="10" w:type="dxa"/>
                              <w:left w:w="10" w:type="dxa"/>
                              <w:bottom w:w="0" w:type="dxa"/>
                              <w:right w:w="10" w:type="dxa"/>
                            </w:tcMar>
                            <w:vAlign w:val="bottom"/>
                            <w:hideMark/>
                          </w:tcPr>
                          <w:p w14:paraId="232E2472" w14:textId="77777777" w:rsidR="00AA0710" w:rsidRPr="00AA0710" w:rsidRDefault="00AA0710" w:rsidP="00AA0710">
                            <w:pPr>
                              <w:jc w:val="center"/>
                              <w:rPr>
                                <w:sz w:val="21"/>
                              </w:rPr>
                            </w:pPr>
                            <w:r w:rsidRPr="00AA0710">
                              <w:rPr>
                                <w:sz w:val="21"/>
                                <w:lang w:val="nb-NO"/>
                              </w:rPr>
                              <w:t>0.51</w:t>
                            </w:r>
                          </w:p>
                        </w:tc>
                        <w:tc>
                          <w:tcPr>
                            <w:tcW w:w="679" w:type="dxa"/>
                            <w:tcBorders>
                              <w:top w:val="single" w:sz="8" w:space="0" w:color="FFFFFF"/>
                              <w:left w:val="single" w:sz="8" w:space="0" w:color="FFFFFF"/>
                              <w:bottom w:val="single" w:sz="8" w:space="0" w:color="FFFFFF"/>
                              <w:right w:val="single" w:sz="8" w:space="0" w:color="FFFFFF"/>
                            </w:tcBorders>
                            <w:shd w:val="clear" w:color="auto" w:fill="FFFFFF"/>
                            <w:tcMar>
                              <w:top w:w="10" w:type="dxa"/>
                              <w:left w:w="10" w:type="dxa"/>
                              <w:bottom w:w="0" w:type="dxa"/>
                              <w:right w:w="10" w:type="dxa"/>
                            </w:tcMar>
                            <w:vAlign w:val="bottom"/>
                            <w:hideMark/>
                          </w:tcPr>
                          <w:p w14:paraId="3C390161" w14:textId="77777777" w:rsidR="00AA0710" w:rsidRPr="00AA0710" w:rsidRDefault="00AA0710" w:rsidP="00AA0710">
                            <w:pPr>
                              <w:jc w:val="center"/>
                              <w:rPr>
                                <w:sz w:val="21"/>
                              </w:rPr>
                            </w:pPr>
                            <w:r w:rsidRPr="00AA0710">
                              <w:rPr>
                                <w:sz w:val="21"/>
                                <w:lang w:val="nb-NO"/>
                              </w:rPr>
                              <w:t>1.22</w:t>
                            </w:r>
                          </w:p>
                        </w:tc>
                      </w:tr>
                      <w:tr w:rsidR="000D7057" w:rsidRPr="00AA0710" w14:paraId="74237170" w14:textId="77777777" w:rsidTr="006761E6">
                        <w:trPr>
                          <w:trHeight w:val="326"/>
                        </w:trPr>
                        <w:tc>
                          <w:tcPr>
                            <w:tcW w:w="149" w:type="dxa"/>
                            <w:tcBorders>
                              <w:top w:val="single" w:sz="8" w:space="0" w:color="FFFFFF"/>
                              <w:left w:val="single" w:sz="8" w:space="0" w:color="FFFFFF"/>
                              <w:bottom w:val="single" w:sz="4" w:space="0" w:color="auto"/>
                              <w:right w:val="single" w:sz="8" w:space="0" w:color="FFFFFF"/>
                            </w:tcBorders>
                            <w:shd w:val="clear" w:color="auto" w:fill="FFFFFF"/>
                            <w:tcMar>
                              <w:top w:w="10" w:type="dxa"/>
                              <w:left w:w="10" w:type="dxa"/>
                              <w:bottom w:w="0" w:type="dxa"/>
                              <w:right w:w="10" w:type="dxa"/>
                            </w:tcMar>
                            <w:vAlign w:val="bottom"/>
                            <w:hideMark/>
                          </w:tcPr>
                          <w:p w14:paraId="239DC0A5" w14:textId="77777777" w:rsidR="00AA0710" w:rsidRPr="00AA0710" w:rsidRDefault="00AA0710" w:rsidP="00AA0710">
                            <w:pPr>
                              <w:rPr>
                                <w:sz w:val="21"/>
                              </w:rPr>
                            </w:pPr>
                            <w:r w:rsidRPr="00AA0710">
                              <w:rPr>
                                <w:sz w:val="21"/>
                              </w:rPr>
                              <w:sym w:font="Symbol" w:char="0073"/>
                            </w:r>
                            <w:r w:rsidRPr="00AA0710">
                              <w:rPr>
                                <w:sz w:val="21"/>
                              </w:rPr>
                              <w:t xml:space="preserve"> </w:t>
                            </w:r>
                          </w:p>
                        </w:tc>
                        <w:tc>
                          <w:tcPr>
                            <w:tcW w:w="608" w:type="dxa"/>
                            <w:tcBorders>
                              <w:top w:val="single" w:sz="8" w:space="0" w:color="FFFFFF"/>
                              <w:left w:val="single" w:sz="8" w:space="0" w:color="FFFFFF"/>
                              <w:bottom w:val="single" w:sz="4" w:space="0" w:color="auto"/>
                              <w:right w:val="single" w:sz="8" w:space="0" w:color="FFFFFF"/>
                            </w:tcBorders>
                            <w:shd w:val="clear" w:color="auto" w:fill="FFFFFF"/>
                            <w:tcMar>
                              <w:top w:w="10" w:type="dxa"/>
                              <w:left w:w="10" w:type="dxa"/>
                              <w:bottom w:w="0" w:type="dxa"/>
                              <w:right w:w="10" w:type="dxa"/>
                            </w:tcMar>
                            <w:vAlign w:val="bottom"/>
                            <w:hideMark/>
                          </w:tcPr>
                          <w:p w14:paraId="75F43ECC" w14:textId="77777777" w:rsidR="00AA0710" w:rsidRPr="00AA0710" w:rsidRDefault="00AA0710" w:rsidP="00AA0710">
                            <w:pPr>
                              <w:jc w:val="center"/>
                              <w:rPr>
                                <w:sz w:val="21"/>
                              </w:rPr>
                            </w:pPr>
                            <w:r w:rsidRPr="00AA0710">
                              <w:rPr>
                                <w:sz w:val="21"/>
                                <w:lang w:val="nb-NO"/>
                              </w:rPr>
                              <w:t>0.91</w:t>
                            </w:r>
                          </w:p>
                        </w:tc>
                        <w:tc>
                          <w:tcPr>
                            <w:tcW w:w="724" w:type="dxa"/>
                            <w:tcBorders>
                              <w:top w:val="single" w:sz="8" w:space="0" w:color="FFFFFF"/>
                              <w:left w:val="single" w:sz="8" w:space="0" w:color="FFFFFF"/>
                              <w:bottom w:val="single" w:sz="4" w:space="0" w:color="auto"/>
                              <w:right w:val="single" w:sz="8" w:space="0" w:color="FFFFFF"/>
                            </w:tcBorders>
                            <w:shd w:val="clear" w:color="auto" w:fill="FFFFFF"/>
                            <w:tcMar>
                              <w:top w:w="10" w:type="dxa"/>
                              <w:left w:w="10" w:type="dxa"/>
                              <w:bottom w:w="0" w:type="dxa"/>
                              <w:right w:w="10" w:type="dxa"/>
                            </w:tcMar>
                            <w:vAlign w:val="bottom"/>
                            <w:hideMark/>
                          </w:tcPr>
                          <w:p w14:paraId="361A158A" w14:textId="77777777" w:rsidR="00AA0710" w:rsidRPr="00AA0710" w:rsidRDefault="00AA0710" w:rsidP="00AA0710">
                            <w:pPr>
                              <w:jc w:val="center"/>
                              <w:rPr>
                                <w:sz w:val="21"/>
                              </w:rPr>
                            </w:pPr>
                            <w:r w:rsidRPr="00AA0710">
                              <w:rPr>
                                <w:sz w:val="21"/>
                                <w:lang w:val="nb-NO"/>
                              </w:rPr>
                              <w:t>0.15</w:t>
                            </w:r>
                          </w:p>
                        </w:tc>
                        <w:tc>
                          <w:tcPr>
                            <w:tcW w:w="499" w:type="dxa"/>
                            <w:tcBorders>
                              <w:top w:val="single" w:sz="8" w:space="0" w:color="FFFFFF"/>
                              <w:left w:val="single" w:sz="8" w:space="0" w:color="FFFFFF"/>
                              <w:bottom w:val="single" w:sz="4" w:space="0" w:color="auto"/>
                              <w:right w:val="single" w:sz="8" w:space="0" w:color="FFFFFF"/>
                            </w:tcBorders>
                            <w:shd w:val="clear" w:color="auto" w:fill="FFFFFF"/>
                            <w:tcMar>
                              <w:top w:w="10" w:type="dxa"/>
                              <w:left w:w="10" w:type="dxa"/>
                              <w:bottom w:w="0" w:type="dxa"/>
                              <w:right w:w="10" w:type="dxa"/>
                            </w:tcMar>
                            <w:vAlign w:val="bottom"/>
                            <w:hideMark/>
                          </w:tcPr>
                          <w:p w14:paraId="21B92BAC" w14:textId="77777777" w:rsidR="00AA0710" w:rsidRPr="00AA0710" w:rsidRDefault="00AA0710" w:rsidP="00AA0710">
                            <w:pPr>
                              <w:jc w:val="center"/>
                              <w:rPr>
                                <w:sz w:val="21"/>
                              </w:rPr>
                            </w:pPr>
                            <w:r w:rsidRPr="00AA0710">
                              <w:rPr>
                                <w:sz w:val="21"/>
                                <w:lang w:val="nb-NO"/>
                              </w:rPr>
                              <w:t>0.66</w:t>
                            </w:r>
                          </w:p>
                        </w:tc>
                        <w:tc>
                          <w:tcPr>
                            <w:tcW w:w="679" w:type="dxa"/>
                            <w:tcBorders>
                              <w:top w:val="single" w:sz="8" w:space="0" w:color="FFFFFF"/>
                              <w:left w:val="single" w:sz="8" w:space="0" w:color="FFFFFF"/>
                              <w:bottom w:val="single" w:sz="4" w:space="0" w:color="auto"/>
                              <w:right w:val="single" w:sz="8" w:space="0" w:color="FFFFFF"/>
                            </w:tcBorders>
                            <w:shd w:val="clear" w:color="auto" w:fill="FFFFFF"/>
                            <w:tcMar>
                              <w:top w:w="10" w:type="dxa"/>
                              <w:left w:w="10" w:type="dxa"/>
                              <w:bottom w:w="0" w:type="dxa"/>
                              <w:right w:w="10" w:type="dxa"/>
                            </w:tcMar>
                            <w:vAlign w:val="bottom"/>
                            <w:hideMark/>
                          </w:tcPr>
                          <w:p w14:paraId="57CD2579" w14:textId="77777777" w:rsidR="00AA0710" w:rsidRPr="00AA0710" w:rsidRDefault="00AA0710" w:rsidP="00AA0710">
                            <w:pPr>
                              <w:jc w:val="center"/>
                              <w:rPr>
                                <w:sz w:val="21"/>
                              </w:rPr>
                            </w:pPr>
                            <w:r w:rsidRPr="00AA0710">
                              <w:rPr>
                                <w:sz w:val="21"/>
                                <w:lang w:val="nb-NO"/>
                              </w:rPr>
                              <w:t>1.17</w:t>
                            </w:r>
                          </w:p>
                        </w:tc>
                      </w:tr>
                    </w:tbl>
                    <w:p w14:paraId="5F980B93" w14:textId="533486DC" w:rsidR="00356DB4" w:rsidRPr="00104A51" w:rsidRDefault="00356DB4">
                      <w:pPr>
                        <w:rPr>
                          <w:sz w:val="21"/>
                        </w:rPr>
                      </w:pPr>
                      <w:r w:rsidRPr="00104A51">
                        <w:rPr>
                          <w:sz w:val="21"/>
                        </w:rPr>
                        <w:t xml:space="preserve">Figure 4: </w:t>
                      </w:r>
                      <w:r w:rsidR="00FD2C4A">
                        <w:rPr>
                          <w:sz w:val="21"/>
                        </w:rPr>
                        <w:t>Posteriors for l</w:t>
                      </w:r>
                      <w:r w:rsidRPr="00104A51">
                        <w:rPr>
                          <w:sz w:val="21"/>
                        </w:rPr>
                        <w:t xml:space="preserve">inear </w:t>
                      </w:r>
                      <w:r w:rsidR="00FD2C4A">
                        <w:rPr>
                          <w:sz w:val="21"/>
                        </w:rPr>
                        <w:t xml:space="preserve">model of </w:t>
                      </w:r>
                      <w:r w:rsidRPr="00104A51">
                        <w:rPr>
                          <w:sz w:val="21"/>
                        </w:rPr>
                        <w:t>fitness</w:t>
                      </w:r>
                      <w:r w:rsidR="00FD2C4A">
                        <w:rPr>
                          <w:sz w:val="21"/>
                        </w:rPr>
                        <w:t xml:space="preserve"> index based on GBM-match</w:t>
                      </w:r>
                      <w:r w:rsidRPr="00104A51">
                        <w:rPr>
                          <w:sz w:val="21"/>
                        </w:rPr>
                        <w:t>.</w:t>
                      </w:r>
                      <w:r w:rsidR="00104A51">
                        <w:rPr>
                          <w:sz w:val="21"/>
                        </w:rPr>
                        <w:t xml:space="preserve"> Line traces the MAP values for the mean of the fitness index as it relates to GBM match.</w:t>
                      </w:r>
                      <w:r w:rsidRPr="00104A51">
                        <w:rPr>
                          <w:sz w:val="21"/>
                        </w:rPr>
                        <w:t xml:space="preserve"> Dark grey shading shows 90% intervals for the mean, light grey shading shows 90% </w:t>
                      </w:r>
                      <w:r w:rsidR="00104A51" w:rsidRPr="00104A51">
                        <w:rPr>
                          <w:sz w:val="21"/>
                        </w:rPr>
                        <w:t>prediction interval</w:t>
                      </w:r>
                      <w:r w:rsidRPr="00104A51">
                        <w:rPr>
                          <w:sz w:val="21"/>
                        </w:rPr>
                        <w:t>.</w:t>
                      </w:r>
                    </w:p>
                  </w:txbxContent>
                </v:textbox>
                <w10:wrap type="square"/>
              </v:shape>
            </w:pict>
          </mc:Fallback>
        </mc:AlternateContent>
      </w:r>
      <w:r w:rsidR="004647C4" w:rsidRPr="00474235">
        <w:rPr>
          <w:noProof/>
          <w:sz w:val="22"/>
          <w:szCs w:val="22"/>
        </w:rPr>
        <mc:AlternateContent>
          <mc:Choice Requires="wps">
            <w:drawing>
              <wp:anchor distT="0" distB="0" distL="114300" distR="114300" simplePos="0" relativeHeight="251667456" behindDoc="0" locked="0" layoutInCell="1" allowOverlap="1" wp14:anchorId="081E877A" wp14:editId="18ABBE26">
                <wp:simplePos x="0" y="0"/>
                <wp:positionH relativeFrom="column">
                  <wp:posOffset>2148840</wp:posOffset>
                </wp:positionH>
                <wp:positionV relativeFrom="paragraph">
                  <wp:posOffset>927100</wp:posOffset>
                </wp:positionV>
                <wp:extent cx="4458970" cy="2732405"/>
                <wp:effectExtent l="0" t="0" r="36830" b="36195"/>
                <wp:wrapSquare wrapText="bothSides"/>
                <wp:docPr id="13" name="Text Box 13"/>
                <wp:cNvGraphicFramePr/>
                <a:graphic xmlns:a="http://schemas.openxmlformats.org/drawingml/2006/main">
                  <a:graphicData uri="http://schemas.microsoft.com/office/word/2010/wordprocessingShape">
                    <wps:wsp>
                      <wps:cNvSpPr txBox="1"/>
                      <wps:spPr>
                        <a:xfrm>
                          <a:off x="0" y="0"/>
                          <a:ext cx="4458970" cy="2732405"/>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0A412131" w14:textId="77777777" w:rsidR="000B7DFE" w:rsidRPr="004647C4" w:rsidRDefault="000B7DFE" w:rsidP="000B7DFE">
                            <w:pPr>
                              <w:jc w:val="center"/>
                              <w:rPr>
                                <w:sz w:val="20"/>
                                <w:szCs w:val="20"/>
                              </w:rPr>
                            </w:pPr>
                            <w:r w:rsidRPr="004647C4">
                              <w:rPr>
                                <w:noProof/>
                                <w:sz w:val="20"/>
                                <w:szCs w:val="20"/>
                              </w:rPr>
                              <w:drawing>
                                <wp:inline distT="0" distB="0" distL="0" distR="0" wp14:anchorId="6C10F852" wp14:editId="621342D2">
                                  <wp:extent cx="4259179" cy="1558233"/>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bm_scores.png"/>
                                          <pic:cNvPicPr/>
                                        </pic:nvPicPr>
                                        <pic:blipFill rotWithShape="1">
                                          <a:blip r:embed="rId7">
                                            <a:extLst>
                                              <a:ext uri="{28A0092B-C50C-407E-A947-70E740481C1C}">
                                                <a14:useLocalDpi xmlns:a14="http://schemas.microsoft.com/office/drawing/2010/main" val="0"/>
                                              </a:ext>
                                            </a:extLst>
                                          </a:blip>
                                          <a:srcRect l="1745" t="16927" r="5616"/>
                                          <a:stretch/>
                                        </pic:blipFill>
                                        <pic:spPr bwMode="auto">
                                          <a:xfrm>
                                            <a:off x="0" y="0"/>
                                            <a:ext cx="4363265" cy="1596313"/>
                                          </a:xfrm>
                                          <a:prstGeom prst="rect">
                                            <a:avLst/>
                                          </a:prstGeom>
                                          <a:ln>
                                            <a:noFill/>
                                          </a:ln>
                                          <a:extLst>
                                            <a:ext uri="{53640926-AAD7-44D8-BBD7-CCE9431645EC}">
                                              <a14:shadowObscured xmlns:a14="http://schemas.microsoft.com/office/drawing/2010/main"/>
                                            </a:ext>
                                          </a:extLst>
                                        </pic:spPr>
                                      </pic:pic>
                                    </a:graphicData>
                                  </a:graphic>
                                </wp:inline>
                              </w:drawing>
                            </w:r>
                          </w:p>
                          <w:p w14:paraId="7FA2F9E3" w14:textId="63B1087C" w:rsidR="000B7DFE" w:rsidRPr="004647C4" w:rsidRDefault="000B7DFE">
                            <w:pPr>
                              <w:rPr>
                                <w:sz w:val="20"/>
                                <w:szCs w:val="20"/>
                              </w:rPr>
                            </w:pPr>
                            <w:r w:rsidRPr="004647C4">
                              <w:rPr>
                                <w:sz w:val="20"/>
                                <w:szCs w:val="20"/>
                              </w:rPr>
                              <w:t>Figure 3: Schematic of GBM match scoring. (A) Match score. Each transplanted fragment</w:t>
                            </w:r>
                            <w:r w:rsidR="00C7298F" w:rsidRPr="004647C4">
                              <w:rPr>
                                <w:sz w:val="20"/>
                                <w:szCs w:val="20"/>
                              </w:rPr>
                              <w:t xml:space="preserve"> (</w:t>
                            </w:r>
                            <w:proofErr w:type="spellStart"/>
                            <w:r w:rsidR="00C7298F" w:rsidRPr="004647C4">
                              <w:rPr>
                                <w:sz w:val="20"/>
                                <w:szCs w:val="20"/>
                              </w:rPr>
                              <w:t>eg</w:t>
                            </w:r>
                            <w:proofErr w:type="spellEnd"/>
                            <w:r w:rsidR="00C7298F" w:rsidRPr="004647C4">
                              <w:rPr>
                                <w:sz w:val="20"/>
                                <w:szCs w:val="20"/>
                              </w:rPr>
                              <w:t xml:space="preserve"> orange oval)</w:t>
                            </w:r>
                            <w:r w:rsidRPr="004647C4">
                              <w:rPr>
                                <w:sz w:val="20"/>
                                <w:szCs w:val="20"/>
                              </w:rPr>
                              <w:t xml:space="preserve"> has a loading value on the discriminant axis some distance from the mean for native corals for that site. Match score is calculated as the inverse z-score for these values across all transplanted corals</w:t>
                            </w:r>
                            <w:r w:rsidR="00474235" w:rsidRPr="004647C4">
                              <w:rPr>
                                <w:sz w:val="20"/>
                                <w:szCs w:val="20"/>
                              </w:rPr>
                              <w:t>:</w:t>
                            </w:r>
                            <w:r w:rsidRPr="004647C4">
                              <w:rPr>
                                <w:sz w:val="20"/>
                                <w:szCs w:val="20"/>
                              </w:rPr>
                              <w:t xml:space="preserve"> </w:t>
                            </w:r>
                            <w:r w:rsidR="00474235" w:rsidRPr="004647C4">
                              <w:rPr>
                                <w:sz w:val="20"/>
                                <w:szCs w:val="20"/>
                              </w:rPr>
                              <w:t>-</w:t>
                            </w:r>
                            <m:oMath>
                              <m:r>
                                <w:rPr>
                                  <w:rFonts w:ascii="Cambria Math" w:hAnsi="Cambria Math"/>
                                  <w:sz w:val="20"/>
                                  <w:szCs w:val="20"/>
                                </w:rPr>
                                <m:t>1</m:t>
                              </m:r>
                              <m:d>
                                <m:dPr>
                                  <m:ctrlPr>
                                    <w:rPr>
                                      <w:rFonts w:ascii="Cambria Math" w:hAnsi="Cambria Math"/>
                                      <w:i/>
                                      <w:sz w:val="20"/>
                                      <w:szCs w:val="20"/>
                                    </w:rPr>
                                  </m:ctrlPr>
                                </m:dPr>
                                <m:e>
                                  <m:f>
                                    <m:fPr>
                                      <m:type m:val="lin"/>
                                      <m:ctrlPr>
                                        <w:rPr>
                                          <w:rFonts w:ascii="Cambria Math" w:hAnsi="Cambria Math"/>
                                          <w:i/>
                                          <w:sz w:val="20"/>
                                          <w:szCs w:val="20"/>
                                        </w:rPr>
                                      </m:ctrlPr>
                                    </m:fPr>
                                    <m:num>
                                      <m:r>
                                        <w:rPr>
                                          <w:rFonts w:ascii="Cambria Math" w:hAnsi="Cambria Math"/>
                                          <w:sz w:val="20"/>
                                          <w:szCs w:val="20"/>
                                        </w:rPr>
                                        <m:t>x-</m:t>
                                      </m:r>
                                      <m:acc>
                                        <m:accPr>
                                          <m:chr m:val="̅"/>
                                          <m:ctrlPr>
                                            <w:rPr>
                                              <w:rFonts w:ascii="Cambria Math" w:hAnsi="Cambria Math"/>
                                              <w:i/>
                                              <w:sz w:val="20"/>
                                              <w:szCs w:val="20"/>
                                            </w:rPr>
                                          </m:ctrlPr>
                                        </m:accPr>
                                        <m:e>
                                          <m:r>
                                            <w:rPr>
                                              <w:rFonts w:ascii="Cambria Math" w:hAnsi="Cambria Math"/>
                                              <w:sz w:val="20"/>
                                              <w:szCs w:val="20"/>
                                            </w:rPr>
                                            <m:t>x</m:t>
                                          </m:r>
                                        </m:e>
                                      </m:acc>
                                    </m:num>
                                    <m:den>
                                      <m:sSub>
                                        <m:sSubPr>
                                          <m:ctrlPr>
                                            <w:rPr>
                                              <w:rFonts w:ascii="Cambria Math" w:hAnsi="Cambria Math"/>
                                              <w:i/>
                                              <w:sz w:val="20"/>
                                              <w:szCs w:val="20"/>
                                            </w:rPr>
                                          </m:ctrlPr>
                                        </m:sSubPr>
                                        <m:e>
                                          <m:r>
                                            <w:rPr>
                                              <w:rFonts w:ascii="Cambria Math" w:hAnsi="Cambria Math"/>
                                              <w:sz w:val="20"/>
                                              <w:szCs w:val="20"/>
                                            </w:rPr>
                                            <m:t>σ</m:t>
                                          </m:r>
                                        </m:e>
                                        <m:sub>
                                          <m:r>
                                            <w:rPr>
                                              <w:rFonts w:ascii="Cambria Math" w:hAnsi="Cambria Math"/>
                                              <w:sz w:val="20"/>
                                              <w:szCs w:val="20"/>
                                            </w:rPr>
                                            <m:t>x</m:t>
                                          </m:r>
                                        </m:sub>
                                      </m:sSub>
                                    </m:den>
                                  </m:f>
                                </m:e>
                              </m:d>
                            </m:oMath>
                            <w:r w:rsidRPr="004647C4">
                              <w:rPr>
                                <w:sz w:val="20"/>
                                <w:szCs w:val="20"/>
                              </w:rPr>
                              <w:t>.</w:t>
                            </w:r>
                            <w:r w:rsidR="00925049" w:rsidRPr="004647C4">
                              <w:rPr>
                                <w:sz w:val="20"/>
                                <w:szCs w:val="20"/>
                              </w:rPr>
                              <w:t xml:space="preserve"> (B) Pre-acclimatization is measured exactly as match-score, only based on the clonal fragment that was not transplanted (red oval). (C) Shift. The distance along the discriminant axis between clone-mates.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1E877A" id="Text Box 13" o:spid="_x0000_s1029" type="#_x0000_t202" style="position:absolute;left:0;text-align:left;margin-left:169.2pt;margin-top:73pt;width:351.1pt;height:215.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" filled="f" strokecolor="black [3213]">
                <v:textbox>
                  <w:txbxContent>
                    <w:p w14:paraId="0A412131" w14:textId="77777777" w:rsidR="000B7DFE" w:rsidRPr="004647C4" w:rsidRDefault="000B7DFE" w:rsidP="000B7DFE">
                      <w:pPr>
                        <w:jc w:val="center"/>
                        <w:rPr>
                          <w:sz w:val="20"/>
                          <w:szCs w:val="20"/>
                        </w:rPr>
                      </w:pPr>
                      <w:r w:rsidRPr="004647C4">
                        <w:rPr>
                          <w:noProof/>
                          <w:sz w:val="20"/>
                          <w:szCs w:val="20"/>
                        </w:rPr>
                        <w:drawing>
                          <wp:inline distT="0" distB="0" distL="0" distR="0" wp14:anchorId="6C10F852" wp14:editId="621342D2">
                            <wp:extent cx="4259179" cy="1558233"/>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bm_scores.png"/>
                                    <pic:cNvPicPr/>
                                  </pic:nvPicPr>
                                  <pic:blipFill rotWithShape="1">
                                    <a:blip r:embed="rId7">
                                      <a:extLst>
                                        <a:ext uri="{28A0092B-C50C-407E-A947-70E740481C1C}">
                                          <a14:useLocalDpi xmlns:a14="http://schemas.microsoft.com/office/drawing/2010/main" val="0"/>
                                        </a:ext>
                                      </a:extLst>
                                    </a:blip>
                                    <a:srcRect l="1745" t="16927" r="5616"/>
                                    <a:stretch/>
                                  </pic:blipFill>
                                  <pic:spPr bwMode="auto">
                                    <a:xfrm>
                                      <a:off x="0" y="0"/>
                                      <a:ext cx="4363265" cy="1596313"/>
                                    </a:xfrm>
                                    <a:prstGeom prst="rect">
                                      <a:avLst/>
                                    </a:prstGeom>
                                    <a:ln>
                                      <a:noFill/>
                                    </a:ln>
                                    <a:extLst>
                                      <a:ext uri="{53640926-AAD7-44D8-BBD7-CCE9431645EC}">
                                        <a14:shadowObscured xmlns:a14="http://schemas.microsoft.com/office/drawing/2010/main"/>
                                      </a:ext>
                                    </a:extLst>
                                  </pic:spPr>
                                </pic:pic>
                              </a:graphicData>
                            </a:graphic>
                          </wp:inline>
                        </w:drawing>
                      </w:r>
                    </w:p>
                    <w:p w14:paraId="7FA2F9E3" w14:textId="63B1087C" w:rsidR="000B7DFE" w:rsidRPr="004647C4" w:rsidRDefault="000B7DFE">
                      <w:pPr>
                        <w:rPr>
                          <w:sz w:val="20"/>
                          <w:szCs w:val="20"/>
                        </w:rPr>
                      </w:pPr>
                      <w:r w:rsidRPr="004647C4">
                        <w:rPr>
                          <w:sz w:val="20"/>
                          <w:szCs w:val="20"/>
                        </w:rPr>
                        <w:t>Figure 3: Schematic of GBM match scoring. (A) Match score. Each transplanted fragment</w:t>
                      </w:r>
                      <w:r w:rsidR="00C7298F" w:rsidRPr="004647C4">
                        <w:rPr>
                          <w:sz w:val="20"/>
                          <w:szCs w:val="20"/>
                        </w:rPr>
                        <w:t xml:space="preserve"> (</w:t>
                      </w:r>
                      <w:proofErr w:type="spellStart"/>
                      <w:r w:rsidR="00C7298F" w:rsidRPr="004647C4">
                        <w:rPr>
                          <w:sz w:val="20"/>
                          <w:szCs w:val="20"/>
                        </w:rPr>
                        <w:t>eg</w:t>
                      </w:r>
                      <w:proofErr w:type="spellEnd"/>
                      <w:r w:rsidR="00C7298F" w:rsidRPr="004647C4">
                        <w:rPr>
                          <w:sz w:val="20"/>
                          <w:szCs w:val="20"/>
                        </w:rPr>
                        <w:t xml:space="preserve"> orange oval)</w:t>
                      </w:r>
                      <w:r w:rsidRPr="004647C4">
                        <w:rPr>
                          <w:sz w:val="20"/>
                          <w:szCs w:val="20"/>
                        </w:rPr>
                        <w:t xml:space="preserve"> has a loading value on the discriminant axis some distance from the mean for native corals for that site. Match score is calculated as the inverse z-score for these values across all transplanted corals</w:t>
                      </w:r>
                      <w:r w:rsidR="00474235" w:rsidRPr="004647C4">
                        <w:rPr>
                          <w:sz w:val="20"/>
                          <w:szCs w:val="20"/>
                        </w:rPr>
                        <w:t>:</w:t>
                      </w:r>
                      <w:r w:rsidRPr="004647C4">
                        <w:rPr>
                          <w:sz w:val="20"/>
                          <w:szCs w:val="20"/>
                        </w:rPr>
                        <w:t xml:space="preserve"> </w:t>
                      </w:r>
                      <w:r w:rsidR="00474235" w:rsidRPr="004647C4">
                        <w:rPr>
                          <w:sz w:val="20"/>
                          <w:szCs w:val="20"/>
                        </w:rPr>
                        <w:t>-</w:t>
                      </w:r>
                      <m:oMath>
                        <m:r>
                          <w:rPr>
                            <w:rFonts w:ascii="Cambria Math" w:hAnsi="Cambria Math"/>
                            <w:sz w:val="20"/>
                            <w:szCs w:val="20"/>
                          </w:rPr>
                          <m:t>1</m:t>
                        </m:r>
                        <m:d>
                          <m:dPr>
                            <m:ctrlPr>
                              <w:rPr>
                                <w:rFonts w:ascii="Cambria Math" w:hAnsi="Cambria Math"/>
                                <w:i/>
                                <w:sz w:val="20"/>
                                <w:szCs w:val="20"/>
                              </w:rPr>
                            </m:ctrlPr>
                          </m:dPr>
                          <m:e>
                            <m:f>
                              <m:fPr>
                                <m:type m:val="lin"/>
                                <m:ctrlPr>
                                  <w:rPr>
                                    <w:rFonts w:ascii="Cambria Math" w:hAnsi="Cambria Math"/>
                                    <w:i/>
                                    <w:sz w:val="20"/>
                                    <w:szCs w:val="20"/>
                                  </w:rPr>
                                </m:ctrlPr>
                              </m:fPr>
                              <m:num>
                                <m:r>
                                  <w:rPr>
                                    <w:rFonts w:ascii="Cambria Math" w:hAnsi="Cambria Math"/>
                                    <w:sz w:val="20"/>
                                    <w:szCs w:val="20"/>
                                  </w:rPr>
                                  <m:t>x-</m:t>
                                </m:r>
                                <m:acc>
                                  <m:accPr>
                                    <m:chr m:val="̅"/>
                                    <m:ctrlPr>
                                      <w:rPr>
                                        <w:rFonts w:ascii="Cambria Math" w:hAnsi="Cambria Math"/>
                                        <w:i/>
                                        <w:sz w:val="20"/>
                                        <w:szCs w:val="20"/>
                                      </w:rPr>
                                    </m:ctrlPr>
                                  </m:accPr>
                                  <m:e>
                                    <m:r>
                                      <w:rPr>
                                        <w:rFonts w:ascii="Cambria Math" w:hAnsi="Cambria Math"/>
                                        <w:sz w:val="20"/>
                                        <w:szCs w:val="20"/>
                                      </w:rPr>
                                      <m:t>x</m:t>
                                    </m:r>
                                  </m:e>
                                </m:acc>
                              </m:num>
                              <m:den>
                                <m:sSub>
                                  <m:sSubPr>
                                    <m:ctrlPr>
                                      <w:rPr>
                                        <w:rFonts w:ascii="Cambria Math" w:hAnsi="Cambria Math"/>
                                        <w:i/>
                                        <w:sz w:val="20"/>
                                        <w:szCs w:val="20"/>
                                      </w:rPr>
                                    </m:ctrlPr>
                                  </m:sSubPr>
                                  <m:e>
                                    <m:r>
                                      <w:rPr>
                                        <w:rFonts w:ascii="Cambria Math" w:hAnsi="Cambria Math"/>
                                        <w:sz w:val="20"/>
                                        <w:szCs w:val="20"/>
                                      </w:rPr>
                                      <m:t>σ</m:t>
                                    </m:r>
                                  </m:e>
                                  <m:sub>
                                    <m:r>
                                      <w:rPr>
                                        <w:rFonts w:ascii="Cambria Math" w:hAnsi="Cambria Math"/>
                                        <w:sz w:val="20"/>
                                        <w:szCs w:val="20"/>
                                      </w:rPr>
                                      <m:t>x</m:t>
                                    </m:r>
                                  </m:sub>
                                </m:sSub>
                              </m:den>
                            </m:f>
                          </m:e>
                        </m:d>
                      </m:oMath>
                      <w:r w:rsidRPr="004647C4">
                        <w:rPr>
                          <w:sz w:val="20"/>
                          <w:szCs w:val="20"/>
                        </w:rPr>
                        <w:t>.</w:t>
                      </w:r>
                      <w:r w:rsidR="00925049" w:rsidRPr="004647C4">
                        <w:rPr>
                          <w:sz w:val="20"/>
                          <w:szCs w:val="20"/>
                        </w:rPr>
                        <w:t xml:space="preserve"> (B) Pre-acclimatization is measured exactly as match-score, only based on the clonal fragment that was not transplanted (red oval). (C) Shift. The distance along the discriminant axis between clone-mates.</w:t>
                      </w:r>
                    </w:p>
                  </w:txbxContent>
                </v:textbox>
                <w10:wrap type="square"/>
              </v:shape>
            </w:pict>
          </mc:Fallback>
        </mc:AlternateContent>
      </w:r>
      <w:r w:rsidR="00852DD8">
        <w:rPr>
          <w:sz w:val="22"/>
          <w:szCs w:val="22"/>
        </w:rPr>
        <w:t>I</w:t>
      </w:r>
      <w:r w:rsidR="00AD3965" w:rsidRPr="00474235">
        <w:rPr>
          <w:sz w:val="22"/>
          <w:szCs w:val="22"/>
        </w:rPr>
        <w:t>t seems reasonable</w:t>
      </w:r>
      <w:r w:rsidR="00C215AB" w:rsidRPr="00474235">
        <w:rPr>
          <w:sz w:val="22"/>
          <w:szCs w:val="22"/>
        </w:rPr>
        <w:t xml:space="preserve"> that</w:t>
      </w:r>
      <w:r w:rsidR="00AD3965" w:rsidRPr="00474235">
        <w:rPr>
          <w:sz w:val="22"/>
          <w:szCs w:val="22"/>
        </w:rPr>
        <w:t>, either due to selection,</w:t>
      </w:r>
      <w:r w:rsidR="00C215AB" w:rsidRPr="00474235">
        <w:rPr>
          <w:sz w:val="22"/>
          <w:szCs w:val="22"/>
        </w:rPr>
        <w:t xml:space="preserve"> plasticity, </w:t>
      </w:r>
      <w:r w:rsidR="00AD3965" w:rsidRPr="00474235">
        <w:rPr>
          <w:sz w:val="22"/>
          <w:szCs w:val="22"/>
        </w:rPr>
        <w:t xml:space="preserve">or </w:t>
      </w:r>
      <w:r w:rsidR="00C215AB" w:rsidRPr="00474235">
        <w:rPr>
          <w:sz w:val="22"/>
          <w:szCs w:val="22"/>
        </w:rPr>
        <w:t xml:space="preserve">a combination of each, </w:t>
      </w:r>
      <w:r w:rsidR="00583F70" w:rsidRPr="00474235">
        <w:rPr>
          <w:sz w:val="22"/>
          <w:szCs w:val="22"/>
        </w:rPr>
        <w:t xml:space="preserve">native </w:t>
      </w:r>
      <w:r w:rsidR="00AD3965" w:rsidRPr="00474235">
        <w:rPr>
          <w:sz w:val="22"/>
          <w:szCs w:val="22"/>
        </w:rPr>
        <w:t xml:space="preserve">corals </w:t>
      </w:r>
      <w:r w:rsidR="00C7298F">
        <w:rPr>
          <w:sz w:val="22"/>
          <w:szCs w:val="22"/>
        </w:rPr>
        <w:t xml:space="preserve">will </w:t>
      </w:r>
      <w:r w:rsidR="00583F70" w:rsidRPr="00474235">
        <w:rPr>
          <w:sz w:val="22"/>
          <w:szCs w:val="22"/>
        </w:rPr>
        <w:t xml:space="preserve">possess </w:t>
      </w:r>
      <w:r w:rsidR="00AD3965" w:rsidRPr="00474235">
        <w:rPr>
          <w:sz w:val="22"/>
          <w:szCs w:val="22"/>
        </w:rPr>
        <w:t>methylation patterns better optimized</w:t>
      </w:r>
      <w:r w:rsidR="00583F70" w:rsidRPr="00474235">
        <w:rPr>
          <w:sz w:val="22"/>
          <w:szCs w:val="22"/>
        </w:rPr>
        <w:t xml:space="preserve"> </w:t>
      </w:r>
      <w:r w:rsidR="00C7298F">
        <w:rPr>
          <w:sz w:val="22"/>
          <w:szCs w:val="22"/>
        </w:rPr>
        <w:t>to</w:t>
      </w:r>
      <w:r w:rsidR="00583F70" w:rsidRPr="00474235">
        <w:rPr>
          <w:sz w:val="22"/>
          <w:szCs w:val="22"/>
        </w:rPr>
        <w:t xml:space="preserve"> </w:t>
      </w:r>
      <w:r w:rsidR="00AD3965" w:rsidRPr="00474235">
        <w:rPr>
          <w:sz w:val="22"/>
          <w:szCs w:val="22"/>
        </w:rPr>
        <w:t xml:space="preserve">their </w:t>
      </w:r>
      <w:r w:rsidR="00C7298F">
        <w:rPr>
          <w:sz w:val="22"/>
          <w:szCs w:val="22"/>
        </w:rPr>
        <w:t>local environment</w:t>
      </w:r>
      <w:r w:rsidR="00C215AB" w:rsidRPr="00474235">
        <w:rPr>
          <w:sz w:val="22"/>
          <w:szCs w:val="22"/>
        </w:rPr>
        <w:t xml:space="preserve">. If this is the case, then transplanted corals with methylomes more similar to those of native corals </w:t>
      </w:r>
      <w:r w:rsidR="00AD3965" w:rsidRPr="00474235">
        <w:rPr>
          <w:sz w:val="22"/>
          <w:szCs w:val="22"/>
        </w:rPr>
        <w:t>should</w:t>
      </w:r>
      <w:r w:rsidR="00C7298F">
        <w:rPr>
          <w:sz w:val="22"/>
          <w:szCs w:val="22"/>
        </w:rPr>
        <w:t xml:space="preserve"> demonstrate</w:t>
      </w:r>
      <w:r w:rsidR="00C215AB" w:rsidRPr="00474235">
        <w:rPr>
          <w:sz w:val="22"/>
          <w:szCs w:val="22"/>
        </w:rPr>
        <w:t xml:space="preserve"> greater fitness. We </w:t>
      </w:r>
      <w:r w:rsidR="00C7298F">
        <w:rPr>
          <w:sz w:val="22"/>
          <w:szCs w:val="22"/>
        </w:rPr>
        <w:t>quantify this</w:t>
      </w:r>
      <w:r w:rsidR="00C215AB" w:rsidRPr="00474235">
        <w:rPr>
          <w:sz w:val="22"/>
          <w:szCs w:val="22"/>
        </w:rPr>
        <w:t xml:space="preserve"> similarity</w:t>
      </w:r>
      <w:r w:rsidR="00C7298F">
        <w:rPr>
          <w:sz w:val="22"/>
          <w:szCs w:val="22"/>
        </w:rPr>
        <w:t xml:space="preserve"> of methylomes</w:t>
      </w:r>
      <w:r w:rsidR="00C215AB" w:rsidRPr="00474235">
        <w:rPr>
          <w:sz w:val="22"/>
          <w:szCs w:val="22"/>
        </w:rPr>
        <w:t xml:space="preserve"> as a </w:t>
      </w:r>
      <w:r w:rsidR="00C7298F">
        <w:rPr>
          <w:sz w:val="22"/>
          <w:szCs w:val="22"/>
        </w:rPr>
        <w:t>‘</w:t>
      </w:r>
      <w:r w:rsidR="002162A9">
        <w:rPr>
          <w:sz w:val="22"/>
          <w:szCs w:val="22"/>
        </w:rPr>
        <w:t>match-</w:t>
      </w:r>
      <w:r w:rsidR="00C215AB" w:rsidRPr="00474235">
        <w:rPr>
          <w:sz w:val="22"/>
          <w:szCs w:val="22"/>
        </w:rPr>
        <w:t>score</w:t>
      </w:r>
      <w:r w:rsidR="00C7298F">
        <w:rPr>
          <w:sz w:val="22"/>
          <w:szCs w:val="22"/>
        </w:rPr>
        <w:t>’</w:t>
      </w:r>
      <w:r w:rsidR="00C215AB" w:rsidRPr="00474235">
        <w:rPr>
          <w:sz w:val="22"/>
          <w:szCs w:val="22"/>
        </w:rPr>
        <w:t xml:space="preserve">, calculated as the inverse z-score of the distance </w:t>
      </w:r>
      <w:r w:rsidR="002162A9">
        <w:rPr>
          <w:sz w:val="22"/>
          <w:szCs w:val="22"/>
        </w:rPr>
        <w:t>along</w:t>
      </w:r>
      <w:r w:rsidR="00C7298F">
        <w:rPr>
          <w:sz w:val="22"/>
          <w:szCs w:val="22"/>
        </w:rPr>
        <w:t xml:space="preserve"> the discriminant axis between a transplanted fragment and the</w:t>
      </w:r>
      <w:r w:rsidR="00C215AB" w:rsidRPr="00474235">
        <w:rPr>
          <w:sz w:val="22"/>
          <w:szCs w:val="22"/>
        </w:rPr>
        <w:t xml:space="preserve"> </w:t>
      </w:r>
      <w:r w:rsidR="00C7298F">
        <w:rPr>
          <w:sz w:val="22"/>
          <w:szCs w:val="22"/>
        </w:rPr>
        <w:t xml:space="preserve">mean for native corals </w:t>
      </w:r>
      <w:r w:rsidR="002162A9">
        <w:rPr>
          <w:sz w:val="22"/>
          <w:szCs w:val="22"/>
        </w:rPr>
        <w:t>of</w:t>
      </w:r>
      <w:r w:rsidR="00C7298F">
        <w:rPr>
          <w:sz w:val="22"/>
          <w:szCs w:val="22"/>
        </w:rPr>
        <w:t xml:space="preserve"> that site</w:t>
      </w:r>
      <w:r w:rsidR="00C215AB" w:rsidRPr="00474235">
        <w:rPr>
          <w:sz w:val="22"/>
          <w:szCs w:val="22"/>
        </w:rPr>
        <w:t xml:space="preserve"> (fig. 3A).</w:t>
      </w:r>
      <w:r w:rsidR="00474235">
        <w:rPr>
          <w:sz w:val="22"/>
          <w:szCs w:val="22"/>
        </w:rPr>
        <w:t xml:space="preserve"> This match score is a composite of two different values, </w:t>
      </w:r>
      <w:r w:rsidR="00474235" w:rsidRPr="002162A9">
        <w:rPr>
          <w:i/>
          <w:sz w:val="22"/>
          <w:szCs w:val="22"/>
        </w:rPr>
        <w:t>pre-</w:t>
      </w:r>
      <w:r w:rsidR="002162A9" w:rsidRPr="002162A9">
        <w:rPr>
          <w:i/>
          <w:sz w:val="22"/>
          <w:szCs w:val="22"/>
        </w:rPr>
        <w:t>acclimation</w:t>
      </w:r>
      <w:r w:rsidR="002162A9">
        <w:rPr>
          <w:sz w:val="22"/>
          <w:szCs w:val="22"/>
        </w:rPr>
        <w:t>, measured as the match-score</w:t>
      </w:r>
      <w:r w:rsidR="00474235">
        <w:rPr>
          <w:sz w:val="22"/>
          <w:szCs w:val="22"/>
        </w:rPr>
        <w:t xml:space="preserve"> for the clonal fragment that was not </w:t>
      </w:r>
      <w:r w:rsidR="00586AB9">
        <w:rPr>
          <w:sz w:val="22"/>
          <w:szCs w:val="22"/>
        </w:rPr>
        <w:t>transplanted</w:t>
      </w:r>
      <w:r w:rsidR="00474235">
        <w:rPr>
          <w:sz w:val="22"/>
          <w:szCs w:val="22"/>
        </w:rPr>
        <w:t xml:space="preserve"> (fig. 3B), and </w:t>
      </w:r>
      <w:r w:rsidR="00474235" w:rsidRPr="002162A9">
        <w:rPr>
          <w:i/>
          <w:sz w:val="22"/>
          <w:szCs w:val="22"/>
        </w:rPr>
        <w:t>shift</w:t>
      </w:r>
      <w:r w:rsidR="00474235">
        <w:rPr>
          <w:sz w:val="22"/>
          <w:szCs w:val="22"/>
        </w:rPr>
        <w:t xml:space="preserve">, measured as the distance between the transplanted fragment its replanted clonal </w:t>
      </w:r>
      <w:r w:rsidR="00611189">
        <w:rPr>
          <w:sz w:val="22"/>
          <w:szCs w:val="22"/>
        </w:rPr>
        <w:t>counterpart</w:t>
      </w:r>
      <w:r w:rsidR="00474235">
        <w:rPr>
          <w:sz w:val="22"/>
          <w:szCs w:val="22"/>
        </w:rPr>
        <w:t xml:space="preserve"> (fig. 3C).</w:t>
      </w:r>
      <w:r w:rsidR="00611189">
        <w:rPr>
          <w:sz w:val="22"/>
          <w:szCs w:val="22"/>
        </w:rPr>
        <w:t xml:space="preserve"> The following analyses test whether GBM matching is associated with </w:t>
      </w:r>
      <w:r w:rsidR="00450C1B">
        <w:rPr>
          <w:sz w:val="22"/>
          <w:szCs w:val="22"/>
        </w:rPr>
        <w:t xml:space="preserve">physiological </w:t>
      </w:r>
      <w:r>
        <w:rPr>
          <w:sz w:val="22"/>
          <w:szCs w:val="22"/>
        </w:rPr>
        <w:t>measurements</w:t>
      </w:r>
      <w:r w:rsidR="00450C1B">
        <w:rPr>
          <w:sz w:val="22"/>
          <w:szCs w:val="22"/>
        </w:rPr>
        <w:t xml:space="preserve"> indented to approximate fitness</w:t>
      </w:r>
      <w:r w:rsidR="00C7298F">
        <w:rPr>
          <w:sz w:val="22"/>
          <w:szCs w:val="22"/>
        </w:rPr>
        <w:t>, and attempt to dissect the relative importance of pre-acclimation and shift</w:t>
      </w:r>
      <w:r w:rsidR="00611189">
        <w:rPr>
          <w:sz w:val="22"/>
          <w:szCs w:val="22"/>
        </w:rPr>
        <w:t>.</w:t>
      </w:r>
    </w:p>
    <w:p w14:paraId="7ACCB379" w14:textId="2588CC83" w:rsidR="00104A51" w:rsidRDefault="00104A51">
      <w:pPr>
        <w:rPr>
          <w:sz w:val="22"/>
          <w:szCs w:val="22"/>
        </w:rPr>
      </w:pPr>
    </w:p>
    <w:p w14:paraId="5407D45E" w14:textId="5083D7A3" w:rsidR="00C95241" w:rsidRDefault="005A7D9E">
      <w:pPr>
        <w:rPr>
          <w:b/>
          <w:sz w:val="22"/>
          <w:szCs w:val="22"/>
        </w:rPr>
      </w:pPr>
      <w:r w:rsidRPr="00104A51">
        <w:rPr>
          <w:b/>
          <w:sz w:val="22"/>
          <w:szCs w:val="22"/>
        </w:rPr>
        <w:t>Statistical Analyses and Results:</w:t>
      </w:r>
    </w:p>
    <w:p w14:paraId="344F85E3" w14:textId="69D037BB" w:rsidR="00104A51" w:rsidRPr="00104A51" w:rsidRDefault="00104A51">
      <w:pPr>
        <w:rPr>
          <w:i/>
          <w:sz w:val="22"/>
          <w:szCs w:val="22"/>
        </w:rPr>
      </w:pPr>
      <w:r w:rsidRPr="00104A51">
        <w:rPr>
          <w:i/>
          <w:sz w:val="22"/>
          <w:szCs w:val="22"/>
        </w:rPr>
        <w:t>Bivariate linear models (Section 2 R script)</w:t>
      </w:r>
    </w:p>
    <w:p w14:paraId="68054359" w14:textId="4FA50CF9" w:rsidR="005A7D9E" w:rsidRDefault="005A7D9E">
      <w:pPr>
        <w:rPr>
          <w:sz w:val="22"/>
          <w:szCs w:val="22"/>
        </w:rPr>
      </w:pPr>
      <w:r>
        <w:rPr>
          <w:sz w:val="22"/>
          <w:szCs w:val="22"/>
        </w:rPr>
        <w:tab/>
      </w:r>
      <w:proofErr w:type="gramStart"/>
      <w:r w:rsidR="005F5261">
        <w:rPr>
          <w:sz w:val="22"/>
          <w:szCs w:val="22"/>
        </w:rPr>
        <w:t>First</w:t>
      </w:r>
      <w:proofErr w:type="gramEnd"/>
      <w:r w:rsidR="005F5261">
        <w:rPr>
          <w:sz w:val="22"/>
          <w:szCs w:val="22"/>
        </w:rPr>
        <w:t xml:space="preserve"> </w:t>
      </w:r>
      <w:r w:rsidR="00B461BF">
        <w:rPr>
          <w:sz w:val="22"/>
          <w:szCs w:val="22"/>
        </w:rPr>
        <w:t xml:space="preserve">we </w:t>
      </w:r>
      <w:r w:rsidR="005F5261">
        <w:rPr>
          <w:sz w:val="22"/>
          <w:szCs w:val="22"/>
        </w:rPr>
        <w:t xml:space="preserve">constructed </w:t>
      </w:r>
      <w:r w:rsidR="000E4B87">
        <w:rPr>
          <w:sz w:val="22"/>
          <w:szCs w:val="22"/>
        </w:rPr>
        <w:t xml:space="preserve">bivariate linear models using match-scores based on SNPs, GBM, and </w:t>
      </w:r>
      <w:r w:rsidR="00E45A99">
        <w:rPr>
          <w:sz w:val="22"/>
          <w:szCs w:val="22"/>
        </w:rPr>
        <w:t>GE</w:t>
      </w:r>
      <w:r w:rsidR="00944843">
        <w:rPr>
          <w:sz w:val="22"/>
          <w:szCs w:val="22"/>
        </w:rPr>
        <w:t xml:space="preserve"> as predictors and four different physiological measures</w:t>
      </w:r>
      <w:r w:rsidR="00BC1948">
        <w:rPr>
          <w:sz w:val="22"/>
          <w:szCs w:val="22"/>
        </w:rPr>
        <w:t xml:space="preserve"> (weight gain, carbohydrate, protein, and lipid concentration, as well as </w:t>
      </w:r>
      <w:r w:rsidR="00AA0710">
        <w:rPr>
          <w:sz w:val="22"/>
          <w:szCs w:val="22"/>
        </w:rPr>
        <w:t>a summary fitness index</w:t>
      </w:r>
      <w:r w:rsidR="00BC1948">
        <w:rPr>
          <w:sz w:val="22"/>
          <w:szCs w:val="22"/>
        </w:rPr>
        <w:t xml:space="preserve"> </w:t>
      </w:r>
      <w:r w:rsidR="00AA0710">
        <w:rPr>
          <w:sz w:val="22"/>
          <w:szCs w:val="22"/>
        </w:rPr>
        <w:t xml:space="preserve">(the </w:t>
      </w:r>
      <w:r w:rsidR="00BC1948">
        <w:rPr>
          <w:sz w:val="22"/>
          <w:szCs w:val="22"/>
        </w:rPr>
        <w:t>first principal component</w:t>
      </w:r>
      <w:r w:rsidR="00AA0710">
        <w:rPr>
          <w:sz w:val="22"/>
          <w:szCs w:val="22"/>
        </w:rPr>
        <w:t xml:space="preserve"> explaining 50% of variation of</w:t>
      </w:r>
      <w:r w:rsidR="00BC1948">
        <w:rPr>
          <w:sz w:val="22"/>
          <w:szCs w:val="22"/>
        </w:rPr>
        <w:t xml:space="preserve"> these measures</w:t>
      </w:r>
      <w:r w:rsidR="00AA0710">
        <w:rPr>
          <w:sz w:val="22"/>
          <w:szCs w:val="22"/>
        </w:rPr>
        <w:t>)</w:t>
      </w:r>
      <w:r w:rsidR="00BC1948">
        <w:rPr>
          <w:sz w:val="22"/>
          <w:szCs w:val="22"/>
        </w:rPr>
        <w:t xml:space="preserve"> </w:t>
      </w:r>
      <w:r w:rsidR="00944843">
        <w:rPr>
          <w:sz w:val="22"/>
          <w:szCs w:val="22"/>
        </w:rPr>
        <w:t>as</w:t>
      </w:r>
      <w:r w:rsidR="0001601D">
        <w:rPr>
          <w:sz w:val="22"/>
          <w:szCs w:val="22"/>
        </w:rPr>
        <w:t xml:space="preserve"> the response variables</w:t>
      </w:r>
      <w:r w:rsidR="00E45A99">
        <w:rPr>
          <w:sz w:val="22"/>
          <w:szCs w:val="22"/>
        </w:rPr>
        <w:t>.</w:t>
      </w:r>
      <w:r w:rsidR="00E67F5F">
        <w:rPr>
          <w:sz w:val="22"/>
          <w:szCs w:val="22"/>
        </w:rPr>
        <w:t xml:space="preserve"> These models had three parameters</w:t>
      </w:r>
      <w:r w:rsidR="006F254C">
        <w:rPr>
          <w:sz w:val="22"/>
          <w:szCs w:val="22"/>
        </w:rPr>
        <w:t xml:space="preserve"> (</w:t>
      </w:r>
      <w:r w:rsidR="000D7057">
        <w:rPr>
          <w:sz w:val="22"/>
          <w:szCs w:val="22"/>
        </w:rPr>
        <w:t>the intercept (</w:t>
      </w:r>
      <w:r w:rsidR="000D7057" w:rsidRPr="00B461BF">
        <w:rPr>
          <w:i/>
          <w:sz w:val="22"/>
          <w:szCs w:val="22"/>
        </w:rPr>
        <w:t>a</w:t>
      </w:r>
      <w:r w:rsidR="000D7057">
        <w:rPr>
          <w:sz w:val="22"/>
          <w:szCs w:val="22"/>
        </w:rPr>
        <w:t>), the coefficient (</w:t>
      </w:r>
      <w:r w:rsidR="000D7057" w:rsidRPr="00AA0710">
        <w:rPr>
          <w:sz w:val="21"/>
        </w:rPr>
        <w:sym w:font="Symbol" w:char="0062"/>
      </w:r>
      <w:r w:rsidR="000D7057">
        <w:rPr>
          <w:sz w:val="21"/>
        </w:rPr>
        <w:t>)</w:t>
      </w:r>
      <w:r w:rsidR="000D7057">
        <w:rPr>
          <w:sz w:val="22"/>
          <w:szCs w:val="22"/>
        </w:rPr>
        <w:t>, and the standard deviation of the response variable (</w:t>
      </w:r>
      <w:r w:rsidR="000D7057" w:rsidRPr="00AA0710">
        <w:rPr>
          <w:sz w:val="21"/>
        </w:rPr>
        <w:sym w:font="Symbol" w:char="0073"/>
      </w:r>
      <w:r w:rsidR="000D7057">
        <w:rPr>
          <w:sz w:val="22"/>
          <w:szCs w:val="22"/>
        </w:rPr>
        <w:t xml:space="preserve">)). The prior probability distributions for these were: </w:t>
      </w:r>
      <w:r w:rsidR="000D7057" w:rsidRPr="00B461BF">
        <w:rPr>
          <w:i/>
          <w:sz w:val="22"/>
          <w:szCs w:val="22"/>
        </w:rPr>
        <w:t>a</w:t>
      </w:r>
      <w:r w:rsidR="000D7057">
        <w:rPr>
          <w:sz w:val="22"/>
          <w:szCs w:val="22"/>
        </w:rPr>
        <w:t xml:space="preserve">: normal distribution with mean of 0 and standard deviation of 10; </w:t>
      </w:r>
      <w:r w:rsidR="000D7057" w:rsidRPr="00AA0710">
        <w:rPr>
          <w:sz w:val="21"/>
        </w:rPr>
        <w:sym w:font="Symbol" w:char="0062"/>
      </w:r>
      <w:r w:rsidR="000D7057">
        <w:rPr>
          <w:sz w:val="21"/>
        </w:rPr>
        <w:t>:</w:t>
      </w:r>
      <w:r w:rsidR="00E67F5F">
        <w:rPr>
          <w:sz w:val="22"/>
          <w:szCs w:val="22"/>
        </w:rPr>
        <w:t xml:space="preserve"> </w:t>
      </w:r>
      <w:r w:rsidR="000D7057">
        <w:rPr>
          <w:sz w:val="22"/>
          <w:szCs w:val="22"/>
        </w:rPr>
        <w:t xml:space="preserve">normal distribution with mean of 0 and standard deviation of 10; </w:t>
      </w:r>
      <w:r w:rsidR="000D7057" w:rsidRPr="00AA0710">
        <w:rPr>
          <w:sz w:val="21"/>
        </w:rPr>
        <w:sym w:font="Symbol" w:char="0073"/>
      </w:r>
      <w:r w:rsidR="000D7057">
        <w:rPr>
          <w:sz w:val="21"/>
        </w:rPr>
        <w:t>: a flat distribution from 0 to 10. Maximum a posteriori</w:t>
      </w:r>
      <w:r w:rsidR="00104A51">
        <w:rPr>
          <w:sz w:val="21"/>
        </w:rPr>
        <w:t xml:space="preserve"> (MAP)</w:t>
      </w:r>
      <w:r w:rsidR="000D7057">
        <w:rPr>
          <w:sz w:val="21"/>
        </w:rPr>
        <w:t xml:space="preserve"> values for these </w:t>
      </w:r>
      <w:r w:rsidR="00532217">
        <w:rPr>
          <w:sz w:val="21"/>
        </w:rPr>
        <w:t>parameters</w:t>
      </w:r>
      <w:r w:rsidR="00E67F5F">
        <w:rPr>
          <w:sz w:val="22"/>
          <w:szCs w:val="22"/>
        </w:rPr>
        <w:t xml:space="preserve"> were estimated </w:t>
      </w:r>
      <w:r w:rsidR="009F501C">
        <w:rPr>
          <w:sz w:val="22"/>
          <w:szCs w:val="22"/>
        </w:rPr>
        <w:t>using quadratic approximation</w:t>
      </w:r>
      <w:r w:rsidR="000D7057">
        <w:rPr>
          <w:sz w:val="22"/>
          <w:szCs w:val="22"/>
        </w:rPr>
        <w:t xml:space="preserve"> implemented with the MAP function from the rethinking package</w:t>
      </w:r>
      <w:r w:rsidR="007B1748">
        <w:rPr>
          <w:sz w:val="22"/>
          <w:szCs w:val="22"/>
        </w:rPr>
        <w:fldChar w:fldCharType="begin" w:fldLock="1"/>
      </w:r>
      <w:r w:rsidR="007B1748">
        <w:rPr>
          <w:sz w:val="22"/>
          <w:szCs w:val="22"/>
        </w:rPr>
        <w:instrText>ADDIN CSL_CITATION { "citationItems" : [ { "id" : "ITEM-1", "itemData" : { "author" : [ { "dropping-particle" : "", "family" : "McElreath", "given" : "Richard", "non-dropping-particle" : "", "parse-names" : false, "suffix" : "" } ], "id" : "ITEM-1", "issued" : { "date-parts" : [ [ "2016" ] ] }, "publisher" : "CRC Press", "publisher-place" : "Boca Raton, FL", "title" : "Statistical Rethining A Bayesian Course with Examples in R and Stan", "type" : "book" }, "uris" : [ "http://www.mendeley.com/documents/?uuid=aa423ab0-174c-48d2-b29d-dadb60fbf273" ] } ], "mendeley" : { "formattedCitation" : "&lt;sup&gt;3&lt;/sup&gt;", "plainTextFormattedCitation" : "3" }, "properties" : { "noteIndex" : 0 }, "schema" : "https://github.com/citation-style-language/schema/raw/master/csl-citation.json" }</w:instrText>
      </w:r>
      <w:r w:rsidR="007B1748">
        <w:rPr>
          <w:sz w:val="22"/>
          <w:szCs w:val="22"/>
        </w:rPr>
        <w:fldChar w:fldCharType="separate"/>
      </w:r>
      <w:r w:rsidR="007B1748" w:rsidRPr="007B1748">
        <w:rPr>
          <w:noProof/>
          <w:sz w:val="22"/>
          <w:szCs w:val="22"/>
          <w:vertAlign w:val="superscript"/>
        </w:rPr>
        <w:t>3</w:t>
      </w:r>
      <w:r w:rsidR="007B1748">
        <w:rPr>
          <w:sz w:val="22"/>
          <w:szCs w:val="22"/>
        </w:rPr>
        <w:fldChar w:fldCharType="end"/>
      </w:r>
      <w:r w:rsidR="009F501C">
        <w:rPr>
          <w:sz w:val="22"/>
          <w:szCs w:val="22"/>
        </w:rPr>
        <w:t>.</w:t>
      </w:r>
      <w:r w:rsidR="00AA0710">
        <w:rPr>
          <w:sz w:val="22"/>
          <w:szCs w:val="22"/>
        </w:rPr>
        <w:t xml:space="preserve"> </w:t>
      </w:r>
      <w:r w:rsidR="007B1748">
        <w:rPr>
          <w:sz w:val="22"/>
          <w:szCs w:val="22"/>
        </w:rPr>
        <w:t>Posteriors for the model of fitness index are shown</w:t>
      </w:r>
      <w:r w:rsidR="00AA0710">
        <w:rPr>
          <w:sz w:val="22"/>
          <w:szCs w:val="22"/>
        </w:rPr>
        <w:t xml:space="preserve"> </w:t>
      </w:r>
      <w:r w:rsidR="007B1748">
        <w:rPr>
          <w:sz w:val="22"/>
          <w:szCs w:val="22"/>
        </w:rPr>
        <w:t xml:space="preserve">in </w:t>
      </w:r>
      <w:r w:rsidR="00AA0710">
        <w:rPr>
          <w:sz w:val="22"/>
          <w:szCs w:val="22"/>
        </w:rPr>
        <w:t>fig. 4.</w:t>
      </w:r>
      <w:r w:rsidR="000D7057">
        <w:rPr>
          <w:sz w:val="22"/>
          <w:szCs w:val="22"/>
        </w:rPr>
        <w:t xml:space="preserve"> Similar results were obtained for each individual fitness measure (data not shown).</w:t>
      </w:r>
      <w:r w:rsidR="00104A51">
        <w:rPr>
          <w:sz w:val="22"/>
          <w:szCs w:val="22"/>
        </w:rPr>
        <w:t xml:space="preserve"> In contrast to GBM match score, SNP match-score and GE match-score were poor predictors of fitness (data not shown).</w:t>
      </w:r>
    </w:p>
    <w:p w14:paraId="03632FAC" w14:textId="77777777" w:rsidR="0074092A" w:rsidRDefault="0074092A">
      <w:pPr>
        <w:rPr>
          <w:sz w:val="22"/>
          <w:szCs w:val="22"/>
        </w:rPr>
      </w:pPr>
    </w:p>
    <w:p w14:paraId="149C25C5" w14:textId="78FC5559" w:rsidR="0074092A" w:rsidRDefault="0074092A">
      <w:pPr>
        <w:rPr>
          <w:i/>
          <w:sz w:val="22"/>
          <w:szCs w:val="22"/>
        </w:rPr>
      </w:pPr>
      <w:r>
        <w:rPr>
          <w:i/>
          <w:sz w:val="22"/>
          <w:szCs w:val="22"/>
        </w:rPr>
        <w:t>Comparing Origin and GBM match score (Section 3 R script)</w:t>
      </w:r>
    </w:p>
    <w:p w14:paraId="0F28822C" w14:textId="6385229B" w:rsidR="0074092A" w:rsidRPr="0074092A" w:rsidRDefault="0074092A">
      <w:pPr>
        <w:rPr>
          <w:sz w:val="22"/>
          <w:szCs w:val="22"/>
        </w:rPr>
      </w:pPr>
      <w:r>
        <w:rPr>
          <w:sz w:val="22"/>
          <w:szCs w:val="22"/>
        </w:rPr>
        <w:t xml:space="preserve">Given the distinct conditions of the two sites it seemed possible that site could be a more </w:t>
      </w:r>
      <w:r w:rsidR="00234A1F">
        <w:rPr>
          <w:sz w:val="22"/>
          <w:szCs w:val="22"/>
        </w:rPr>
        <w:t>important predictor than GBM-</w:t>
      </w:r>
      <w:r>
        <w:rPr>
          <w:sz w:val="22"/>
          <w:szCs w:val="22"/>
        </w:rPr>
        <w:t>match. To assess this, we constructe</w:t>
      </w:r>
      <w:r w:rsidR="00234A1F">
        <w:rPr>
          <w:sz w:val="22"/>
          <w:szCs w:val="22"/>
        </w:rPr>
        <w:t>d multivariate linear models of</w:t>
      </w:r>
      <w:r>
        <w:rPr>
          <w:sz w:val="22"/>
          <w:szCs w:val="22"/>
        </w:rPr>
        <w:t xml:space="preserve"> fitness index using </w:t>
      </w:r>
      <w:r w:rsidRPr="00234A1F">
        <w:rPr>
          <w:i/>
          <w:sz w:val="22"/>
          <w:szCs w:val="22"/>
        </w:rPr>
        <w:t>Origin</w:t>
      </w:r>
      <w:r w:rsidR="00234A1F">
        <w:rPr>
          <w:sz w:val="22"/>
          <w:szCs w:val="22"/>
        </w:rPr>
        <w:t xml:space="preserve"> and </w:t>
      </w:r>
      <w:r w:rsidR="00234A1F" w:rsidRPr="00234A1F">
        <w:rPr>
          <w:i/>
          <w:sz w:val="22"/>
          <w:szCs w:val="22"/>
        </w:rPr>
        <w:t>GBM-</w:t>
      </w:r>
      <w:r w:rsidRPr="00234A1F">
        <w:rPr>
          <w:i/>
          <w:sz w:val="22"/>
          <w:szCs w:val="22"/>
        </w:rPr>
        <w:t>match</w:t>
      </w:r>
      <w:r w:rsidR="00234A1F">
        <w:rPr>
          <w:sz w:val="22"/>
          <w:szCs w:val="22"/>
        </w:rPr>
        <w:t>-</w:t>
      </w:r>
      <w:r w:rsidRPr="00234A1F">
        <w:rPr>
          <w:i/>
          <w:sz w:val="22"/>
          <w:szCs w:val="22"/>
        </w:rPr>
        <w:t>score</w:t>
      </w:r>
      <w:r>
        <w:rPr>
          <w:sz w:val="22"/>
          <w:szCs w:val="22"/>
        </w:rPr>
        <w:t xml:space="preserve"> as predictors, then compared the posterior distributions for the coefficients of the predictors.</w:t>
      </w:r>
      <w:r w:rsidR="006761E6">
        <w:rPr>
          <w:sz w:val="22"/>
          <w:szCs w:val="22"/>
        </w:rPr>
        <w:t xml:space="preserve"> This analysis demonstrated that </w:t>
      </w:r>
      <w:r w:rsidR="00234A1F">
        <w:rPr>
          <w:sz w:val="22"/>
          <w:szCs w:val="22"/>
        </w:rPr>
        <w:t>when GBM-match-</w:t>
      </w:r>
      <w:r w:rsidR="006761E6">
        <w:rPr>
          <w:sz w:val="22"/>
          <w:szCs w:val="22"/>
        </w:rPr>
        <w:t>score was known, Origin provided little or no additional predictive power.</w:t>
      </w:r>
      <w:r w:rsidR="00852DD8">
        <w:rPr>
          <w:sz w:val="22"/>
          <w:szCs w:val="22"/>
        </w:rPr>
        <w:t xml:space="preserve"> </w:t>
      </w:r>
      <w:r w:rsidR="00234A1F">
        <w:rPr>
          <w:sz w:val="22"/>
          <w:szCs w:val="22"/>
        </w:rPr>
        <w:t xml:space="preserve">Similar results were obtained </w:t>
      </w:r>
      <w:r w:rsidR="00852DD8">
        <w:rPr>
          <w:sz w:val="22"/>
          <w:szCs w:val="22"/>
        </w:rPr>
        <w:t>using frequentists methods.</w:t>
      </w:r>
    </w:p>
    <w:p w14:paraId="0512672F" w14:textId="77777777" w:rsidR="00925049" w:rsidRDefault="00925049">
      <w:pPr>
        <w:rPr>
          <w:i/>
          <w:sz w:val="22"/>
          <w:szCs w:val="22"/>
        </w:rPr>
      </w:pPr>
    </w:p>
    <w:p w14:paraId="4B6AF85F" w14:textId="76DD205C" w:rsidR="00C95241" w:rsidRPr="00474235" w:rsidRDefault="006761E6">
      <w:pPr>
        <w:rPr>
          <w:sz w:val="22"/>
          <w:szCs w:val="22"/>
        </w:rPr>
      </w:pPr>
      <w:r>
        <w:rPr>
          <w:i/>
          <w:sz w:val="22"/>
          <w:szCs w:val="22"/>
        </w:rPr>
        <w:t>Comparing subcomponents of GBM match score (Section 3 R script)</w:t>
      </w:r>
    </w:p>
    <w:p w14:paraId="61C72AFA" w14:textId="03DF46E8" w:rsidR="00C95241" w:rsidRPr="00474235" w:rsidRDefault="006761E6" w:rsidP="006761E6">
      <w:pPr>
        <w:ind w:firstLine="720"/>
        <w:rPr>
          <w:sz w:val="22"/>
          <w:szCs w:val="22"/>
        </w:rPr>
      </w:pPr>
      <w:r>
        <w:rPr>
          <w:sz w:val="22"/>
          <w:szCs w:val="22"/>
        </w:rPr>
        <w:t>The overall match score depends on two components: how much GBM patterns already resembled the target mean (</w:t>
      </w:r>
      <w:r w:rsidRPr="00183E94">
        <w:rPr>
          <w:i/>
          <w:sz w:val="22"/>
          <w:szCs w:val="22"/>
        </w:rPr>
        <w:t>pre-acclimation</w:t>
      </w:r>
      <w:r>
        <w:rPr>
          <w:sz w:val="22"/>
          <w:szCs w:val="22"/>
        </w:rPr>
        <w:t>; fig.3B), and how much GBM patterns changed during the experiment (</w:t>
      </w:r>
      <w:r w:rsidRPr="00183E94">
        <w:rPr>
          <w:i/>
          <w:sz w:val="22"/>
          <w:szCs w:val="22"/>
        </w:rPr>
        <w:t>shift</w:t>
      </w:r>
      <w:r>
        <w:rPr>
          <w:sz w:val="22"/>
          <w:szCs w:val="22"/>
        </w:rPr>
        <w:t xml:space="preserve">; fig.3C). Understanding the relative importance of these components could shed light on </w:t>
      </w:r>
      <w:r w:rsidR="00183E94">
        <w:rPr>
          <w:sz w:val="22"/>
          <w:szCs w:val="22"/>
        </w:rPr>
        <w:t>the mechanism linking GBM-match-</w:t>
      </w:r>
      <w:r>
        <w:rPr>
          <w:sz w:val="22"/>
          <w:szCs w:val="22"/>
        </w:rPr>
        <w:t>score and fitness.</w:t>
      </w:r>
      <w:r w:rsidR="00852DD8">
        <w:rPr>
          <w:sz w:val="22"/>
          <w:szCs w:val="22"/>
        </w:rPr>
        <w:t xml:space="preserve"> </w:t>
      </w:r>
      <w:proofErr w:type="gramStart"/>
      <w:r w:rsidR="00852DD8">
        <w:rPr>
          <w:sz w:val="22"/>
          <w:szCs w:val="22"/>
        </w:rPr>
        <w:t>First</w:t>
      </w:r>
      <w:proofErr w:type="gramEnd"/>
      <w:r w:rsidR="00852DD8">
        <w:rPr>
          <w:sz w:val="22"/>
          <w:szCs w:val="22"/>
        </w:rPr>
        <w:t xml:space="preserve"> we generated multivariate models including both </w:t>
      </w:r>
      <w:r w:rsidR="00852DD8" w:rsidRPr="00183E94">
        <w:rPr>
          <w:i/>
          <w:sz w:val="22"/>
          <w:szCs w:val="22"/>
        </w:rPr>
        <w:t>pre-acclimation</w:t>
      </w:r>
      <w:r w:rsidR="00852DD8">
        <w:rPr>
          <w:sz w:val="22"/>
          <w:szCs w:val="22"/>
        </w:rPr>
        <w:t xml:space="preserve"> and </w:t>
      </w:r>
      <w:r w:rsidR="00852DD8" w:rsidRPr="00183E94">
        <w:rPr>
          <w:i/>
          <w:sz w:val="22"/>
          <w:szCs w:val="22"/>
        </w:rPr>
        <w:t>shift</w:t>
      </w:r>
      <w:r w:rsidR="00852DD8">
        <w:rPr>
          <w:sz w:val="22"/>
          <w:szCs w:val="22"/>
        </w:rPr>
        <w:t xml:space="preserve"> and compared the posterior distributions for their coefficients. </w:t>
      </w:r>
      <w:r w:rsidR="00183E94">
        <w:rPr>
          <w:sz w:val="22"/>
          <w:szCs w:val="22"/>
        </w:rPr>
        <w:t>Both t</w:t>
      </w:r>
      <w:r w:rsidR="00852DD8">
        <w:rPr>
          <w:sz w:val="22"/>
          <w:szCs w:val="22"/>
        </w:rPr>
        <w:t xml:space="preserve">he </w:t>
      </w:r>
      <w:r w:rsidR="00183E94">
        <w:rPr>
          <w:sz w:val="22"/>
          <w:szCs w:val="22"/>
        </w:rPr>
        <w:t>estimates</w:t>
      </w:r>
      <w:r w:rsidR="00852DD8">
        <w:rPr>
          <w:sz w:val="22"/>
          <w:szCs w:val="22"/>
        </w:rPr>
        <w:t xml:space="preserve"> for </w:t>
      </w:r>
      <w:r w:rsidR="00852DD8" w:rsidRPr="00183E94">
        <w:rPr>
          <w:i/>
          <w:sz w:val="22"/>
          <w:szCs w:val="22"/>
        </w:rPr>
        <w:t>pre-acclimation</w:t>
      </w:r>
      <w:r w:rsidR="00852DD8">
        <w:rPr>
          <w:sz w:val="22"/>
          <w:szCs w:val="22"/>
        </w:rPr>
        <w:t xml:space="preserve"> </w:t>
      </w:r>
      <w:r w:rsidR="00183E94">
        <w:rPr>
          <w:sz w:val="22"/>
          <w:szCs w:val="22"/>
        </w:rPr>
        <w:t>and</w:t>
      </w:r>
      <w:r w:rsidR="00852DD8">
        <w:rPr>
          <w:sz w:val="22"/>
          <w:szCs w:val="22"/>
        </w:rPr>
        <w:t xml:space="preserve"> </w:t>
      </w:r>
      <w:r w:rsidR="00852DD8" w:rsidRPr="00183E94">
        <w:rPr>
          <w:i/>
          <w:sz w:val="22"/>
          <w:szCs w:val="22"/>
        </w:rPr>
        <w:t>shift</w:t>
      </w:r>
      <w:r w:rsidR="00852DD8">
        <w:rPr>
          <w:sz w:val="22"/>
          <w:szCs w:val="22"/>
        </w:rPr>
        <w:t xml:space="preserve"> </w:t>
      </w:r>
      <w:r w:rsidR="00183E94">
        <w:rPr>
          <w:sz w:val="22"/>
          <w:szCs w:val="22"/>
        </w:rPr>
        <w:t xml:space="preserve">were </w:t>
      </w:r>
      <w:r w:rsidR="00852DD8">
        <w:rPr>
          <w:sz w:val="22"/>
          <w:szCs w:val="22"/>
        </w:rPr>
        <w:t>most likely greater than zero, indicating that each variable supplied predictive power in addition to the other.</w:t>
      </w:r>
      <w:r w:rsidR="006C118D">
        <w:rPr>
          <w:sz w:val="22"/>
          <w:szCs w:val="22"/>
        </w:rPr>
        <w:t xml:space="preserve"> We then constructed four linear models of the fitness index using </w:t>
      </w:r>
      <w:r w:rsidR="006C118D" w:rsidRPr="00183E94">
        <w:rPr>
          <w:i/>
          <w:sz w:val="22"/>
          <w:szCs w:val="22"/>
        </w:rPr>
        <w:t>GBM-match</w:t>
      </w:r>
      <w:r w:rsidR="00183E94" w:rsidRPr="00183E94">
        <w:rPr>
          <w:i/>
          <w:sz w:val="22"/>
          <w:szCs w:val="22"/>
        </w:rPr>
        <w:t>-score</w:t>
      </w:r>
      <w:r w:rsidR="006C118D">
        <w:rPr>
          <w:sz w:val="22"/>
          <w:szCs w:val="22"/>
        </w:rPr>
        <w:t xml:space="preserve">, </w:t>
      </w:r>
      <w:r w:rsidR="006C118D" w:rsidRPr="00183E94">
        <w:rPr>
          <w:i/>
          <w:sz w:val="22"/>
          <w:szCs w:val="22"/>
        </w:rPr>
        <w:t>pre-acclimation</w:t>
      </w:r>
      <w:r w:rsidR="006C118D">
        <w:rPr>
          <w:sz w:val="22"/>
          <w:szCs w:val="22"/>
        </w:rPr>
        <w:t xml:space="preserve">, and </w:t>
      </w:r>
      <w:r w:rsidR="006C118D" w:rsidRPr="00183E94">
        <w:rPr>
          <w:i/>
          <w:sz w:val="22"/>
          <w:szCs w:val="22"/>
        </w:rPr>
        <w:t>shift</w:t>
      </w:r>
      <w:r w:rsidR="006C118D">
        <w:rPr>
          <w:sz w:val="22"/>
          <w:szCs w:val="22"/>
        </w:rPr>
        <w:t xml:space="preserve"> alone, as well as a model with both </w:t>
      </w:r>
      <w:r w:rsidR="006C118D" w:rsidRPr="00183E94">
        <w:rPr>
          <w:i/>
          <w:sz w:val="22"/>
          <w:szCs w:val="22"/>
        </w:rPr>
        <w:t>pre-acclima</w:t>
      </w:r>
      <w:r w:rsidR="00000D1A" w:rsidRPr="00183E94">
        <w:rPr>
          <w:i/>
          <w:sz w:val="22"/>
          <w:szCs w:val="22"/>
        </w:rPr>
        <w:t>tion</w:t>
      </w:r>
      <w:r w:rsidR="00000D1A">
        <w:rPr>
          <w:sz w:val="22"/>
          <w:szCs w:val="22"/>
        </w:rPr>
        <w:t xml:space="preserve"> and </w:t>
      </w:r>
      <w:r w:rsidR="00000D1A" w:rsidRPr="00183E94">
        <w:rPr>
          <w:i/>
          <w:sz w:val="22"/>
          <w:szCs w:val="22"/>
        </w:rPr>
        <w:t>shift</w:t>
      </w:r>
      <w:r w:rsidR="00000D1A">
        <w:rPr>
          <w:sz w:val="22"/>
          <w:szCs w:val="22"/>
        </w:rPr>
        <w:t xml:space="preserve">. We estimated the predictive accuracy of these models using Widely Applicable Information Criterion (WAIC), and found that the model including both </w:t>
      </w:r>
      <w:r w:rsidR="00000D1A" w:rsidRPr="00183E94">
        <w:rPr>
          <w:i/>
          <w:sz w:val="22"/>
          <w:szCs w:val="22"/>
        </w:rPr>
        <w:t>pre-acclimation</w:t>
      </w:r>
      <w:r w:rsidR="00000D1A">
        <w:rPr>
          <w:sz w:val="22"/>
          <w:szCs w:val="22"/>
        </w:rPr>
        <w:t xml:space="preserve"> </w:t>
      </w:r>
      <w:r w:rsidR="007A589D">
        <w:rPr>
          <w:noProof/>
          <w:sz w:val="22"/>
          <w:szCs w:val="22"/>
        </w:rPr>
        <mc:AlternateContent>
          <mc:Choice Requires="wps">
            <w:drawing>
              <wp:anchor distT="0" distB="0" distL="114300" distR="114300" simplePos="0" relativeHeight="251669504" behindDoc="0" locked="0" layoutInCell="1" allowOverlap="1" wp14:anchorId="21336C9B" wp14:editId="7B58F2CA">
                <wp:simplePos x="0" y="0"/>
                <wp:positionH relativeFrom="column">
                  <wp:posOffset>160020</wp:posOffset>
                </wp:positionH>
                <wp:positionV relativeFrom="paragraph">
                  <wp:posOffset>912495</wp:posOffset>
                </wp:positionV>
                <wp:extent cx="3660140" cy="2051050"/>
                <wp:effectExtent l="0" t="0" r="22860" b="31750"/>
                <wp:wrapSquare wrapText="bothSides"/>
                <wp:docPr id="7" name="Text Box 7"/>
                <wp:cNvGraphicFramePr/>
                <a:graphic xmlns:a="http://schemas.openxmlformats.org/drawingml/2006/main">
                  <a:graphicData uri="http://schemas.microsoft.com/office/word/2010/wordprocessingShape">
                    <wps:wsp>
                      <wps:cNvSpPr txBox="1"/>
                      <wps:spPr>
                        <a:xfrm>
                          <a:off x="0" y="0"/>
                          <a:ext cx="3660140" cy="205105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11C37BC4" w14:textId="2AD3AE73" w:rsidR="00934E41" w:rsidRDefault="006A5E50">
                            <w:r>
                              <w:rPr>
                                <w:noProof/>
                              </w:rPr>
                              <w:drawing>
                                <wp:inline distT="0" distB="0" distL="0" distR="0" wp14:anchorId="15D83D88" wp14:editId="466CDBDE">
                                  <wp:extent cx="3477260" cy="1598295"/>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e_shift.png"/>
                                          <pic:cNvPicPr/>
                                        </pic:nvPicPr>
                                        <pic:blipFill>
                                          <a:blip r:embed="rId8">
                                            <a:extLst>
                                              <a:ext uri="{28A0092B-C50C-407E-A947-70E740481C1C}">
                                                <a14:useLocalDpi xmlns:a14="http://schemas.microsoft.com/office/drawing/2010/main" val="0"/>
                                              </a:ext>
                                            </a:extLst>
                                          </a:blip>
                                          <a:stretch>
                                            <a:fillRect/>
                                          </a:stretch>
                                        </pic:blipFill>
                                        <pic:spPr>
                                          <a:xfrm>
                                            <a:off x="0" y="0"/>
                                            <a:ext cx="3477260" cy="1598295"/>
                                          </a:xfrm>
                                          <a:prstGeom prst="rect">
                                            <a:avLst/>
                                          </a:prstGeom>
                                        </pic:spPr>
                                      </pic:pic>
                                    </a:graphicData>
                                  </a:graphic>
                                </wp:inline>
                              </w:drawing>
                            </w:r>
                          </w:p>
                          <w:p w14:paraId="136FD490" w14:textId="1C3DB6CF" w:rsidR="00934E41" w:rsidRDefault="00934E41">
                            <w:r>
                              <w:t>Figure 5</w:t>
                            </w:r>
                            <w:r w:rsidR="006A5E50">
                              <w:t>: Assessing importance of pre-acclimation and shift for predicting fitness.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336C9B" id="Text Box 7" o:spid="_x0000_s1030" type="#_x0000_t202" style="position:absolute;left:0;text-align:left;margin-left:12.6pt;margin-top:71.85pt;width:288.2pt;height:16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" filled="f" strokecolor="black [3213]">
                <v:textbox>
                  <w:txbxContent>
                    <w:p w14:paraId="11C37BC4" w14:textId="2AD3AE73" w:rsidR="00934E41" w:rsidRDefault="006A5E50">
                      <w:r>
                        <w:rPr>
                          <w:noProof/>
                        </w:rPr>
                        <w:drawing>
                          <wp:inline distT="0" distB="0" distL="0" distR="0" wp14:anchorId="15D83D88" wp14:editId="466CDBDE">
                            <wp:extent cx="3477260" cy="1598295"/>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e_shift.png"/>
                                    <pic:cNvPicPr/>
                                  </pic:nvPicPr>
                                  <pic:blipFill>
                                    <a:blip r:embed="rId8">
                                      <a:extLst>
                                        <a:ext uri="{28A0092B-C50C-407E-A947-70E740481C1C}">
                                          <a14:useLocalDpi xmlns:a14="http://schemas.microsoft.com/office/drawing/2010/main" val="0"/>
                                        </a:ext>
                                      </a:extLst>
                                    </a:blip>
                                    <a:stretch>
                                      <a:fillRect/>
                                    </a:stretch>
                                  </pic:blipFill>
                                  <pic:spPr>
                                    <a:xfrm>
                                      <a:off x="0" y="0"/>
                                      <a:ext cx="3477260" cy="1598295"/>
                                    </a:xfrm>
                                    <a:prstGeom prst="rect">
                                      <a:avLst/>
                                    </a:prstGeom>
                                  </pic:spPr>
                                </pic:pic>
                              </a:graphicData>
                            </a:graphic>
                          </wp:inline>
                        </w:drawing>
                      </w:r>
                    </w:p>
                    <w:p w14:paraId="136FD490" w14:textId="1C3DB6CF" w:rsidR="00934E41" w:rsidRDefault="00934E41">
                      <w:r>
                        <w:t>Figure 5</w:t>
                      </w:r>
                      <w:r w:rsidR="006A5E50">
                        <w:t>: Assessing importance of pre-acclimation and shift for predicting fitness.</w:t>
                      </w:r>
                    </w:p>
                  </w:txbxContent>
                </v:textbox>
                <w10:wrap type="square"/>
              </v:shape>
            </w:pict>
          </mc:Fallback>
        </mc:AlternateContent>
      </w:r>
      <w:r w:rsidR="00000D1A">
        <w:rPr>
          <w:sz w:val="22"/>
          <w:szCs w:val="22"/>
        </w:rPr>
        <w:t xml:space="preserve">and </w:t>
      </w:r>
      <w:r w:rsidR="00000D1A" w:rsidRPr="00183E94">
        <w:rPr>
          <w:i/>
          <w:sz w:val="22"/>
          <w:szCs w:val="22"/>
        </w:rPr>
        <w:t>shift</w:t>
      </w:r>
      <w:r w:rsidR="00000D1A">
        <w:rPr>
          <w:sz w:val="22"/>
          <w:szCs w:val="22"/>
        </w:rPr>
        <w:t xml:space="preserve"> was likely the optimal model for predicting fitness</w:t>
      </w:r>
      <w:r w:rsidR="007F73C8">
        <w:rPr>
          <w:sz w:val="22"/>
          <w:szCs w:val="22"/>
        </w:rPr>
        <w:t xml:space="preserve"> (fig. 5)</w:t>
      </w:r>
      <w:r w:rsidR="00000D1A">
        <w:rPr>
          <w:sz w:val="22"/>
          <w:szCs w:val="22"/>
        </w:rPr>
        <w:t>.</w:t>
      </w:r>
      <w:r w:rsidR="006C118D">
        <w:rPr>
          <w:sz w:val="22"/>
          <w:szCs w:val="22"/>
        </w:rPr>
        <w:t xml:space="preserve"> </w:t>
      </w:r>
      <w:r w:rsidR="006A5E50">
        <w:rPr>
          <w:sz w:val="22"/>
          <w:szCs w:val="22"/>
        </w:rPr>
        <w:t>From this we concluded that both pre-acclimation and shift are important for predicting fitness. Similar results were obtained using AIC on frequentist models.</w:t>
      </w:r>
    </w:p>
    <w:p w14:paraId="30C8AA30" w14:textId="333FB250" w:rsidR="00C95241" w:rsidRPr="00474235" w:rsidRDefault="00852DD8" w:rsidP="00852DD8">
      <w:pPr>
        <w:tabs>
          <w:tab w:val="left" w:pos="6947"/>
        </w:tabs>
        <w:rPr>
          <w:sz w:val="22"/>
          <w:szCs w:val="22"/>
        </w:rPr>
      </w:pPr>
      <w:r>
        <w:rPr>
          <w:sz w:val="22"/>
          <w:szCs w:val="22"/>
        </w:rPr>
        <w:tab/>
      </w:r>
    </w:p>
    <w:p w14:paraId="1D35C676" w14:textId="4084608E" w:rsidR="00C95241" w:rsidRDefault="00540643">
      <w:pPr>
        <w:rPr>
          <w:i/>
          <w:sz w:val="22"/>
          <w:szCs w:val="22"/>
        </w:rPr>
      </w:pPr>
      <w:r>
        <w:rPr>
          <w:i/>
          <w:sz w:val="22"/>
          <w:szCs w:val="22"/>
        </w:rPr>
        <w:t>Model Selection</w:t>
      </w:r>
      <w:r w:rsidR="007F73C8">
        <w:rPr>
          <w:i/>
          <w:sz w:val="22"/>
          <w:szCs w:val="22"/>
        </w:rPr>
        <w:t xml:space="preserve"> (Section 5-6 R scrip)</w:t>
      </w:r>
      <w:r>
        <w:rPr>
          <w:i/>
          <w:sz w:val="22"/>
          <w:szCs w:val="22"/>
        </w:rPr>
        <w:t>:</w:t>
      </w:r>
    </w:p>
    <w:p w14:paraId="330B5A3C" w14:textId="2D80DAA4" w:rsidR="00C95241" w:rsidRDefault="00D85BBA">
      <w:pPr>
        <w:rPr>
          <w:sz w:val="22"/>
          <w:szCs w:val="22"/>
        </w:rPr>
      </w:pPr>
      <w:r>
        <w:rPr>
          <w:noProof/>
          <w:sz w:val="22"/>
          <w:szCs w:val="22"/>
        </w:rPr>
        <mc:AlternateContent>
          <mc:Choice Requires="wps">
            <w:drawing>
              <wp:anchor distT="0" distB="0" distL="114300" distR="114300" simplePos="0" relativeHeight="251670528" behindDoc="0" locked="0" layoutInCell="1" allowOverlap="1" wp14:anchorId="1E3B7D9A" wp14:editId="69DC14D9">
                <wp:simplePos x="0" y="0"/>
                <wp:positionH relativeFrom="column">
                  <wp:posOffset>5116830</wp:posOffset>
                </wp:positionH>
                <wp:positionV relativeFrom="paragraph">
                  <wp:posOffset>1731645</wp:posOffset>
                </wp:positionV>
                <wp:extent cx="1679575" cy="3317240"/>
                <wp:effectExtent l="0" t="0" r="22225" b="35560"/>
                <wp:wrapSquare wrapText="bothSides"/>
                <wp:docPr id="29" name="Text Box 29"/>
                <wp:cNvGraphicFramePr/>
                <a:graphic xmlns:a="http://schemas.openxmlformats.org/drawingml/2006/main">
                  <a:graphicData uri="http://schemas.microsoft.com/office/word/2010/wordprocessingShape">
                    <wps:wsp>
                      <wps:cNvSpPr txBox="1"/>
                      <wps:spPr>
                        <a:xfrm>
                          <a:off x="0" y="0"/>
                          <a:ext cx="1679575" cy="33172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40E751A" w14:textId="459551C5" w:rsidR="00D85BBA" w:rsidRDefault="00D85BBA">
                            <w:r w:rsidRPr="00D85BBA">
                              <w:rPr>
                                <w:noProof/>
                              </w:rPr>
                              <w:drawing>
                                <wp:inline distT="0" distB="0" distL="0" distR="0" wp14:anchorId="0C6EC6DD" wp14:editId="557D9BE6">
                                  <wp:extent cx="1548174" cy="1551121"/>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3833"/>
                                          <a:stretch/>
                                        </pic:blipFill>
                                        <pic:spPr bwMode="auto">
                                          <a:xfrm>
                                            <a:off x="0" y="0"/>
                                            <a:ext cx="1572992" cy="1575986"/>
                                          </a:xfrm>
                                          <a:prstGeom prst="rect">
                                            <a:avLst/>
                                          </a:prstGeom>
                                          <a:ln>
                                            <a:noFill/>
                                          </a:ln>
                                          <a:extLst>
                                            <a:ext uri="{53640926-AAD7-44D8-BBD7-CCE9431645EC}">
                                              <a14:shadowObscured xmlns:a14="http://schemas.microsoft.com/office/drawing/2010/main"/>
                                            </a:ext>
                                          </a:extLst>
                                        </pic:spPr>
                                      </pic:pic>
                                    </a:graphicData>
                                  </a:graphic>
                                </wp:inline>
                              </w:drawing>
                            </w:r>
                          </w:p>
                          <w:p w14:paraId="57F0D13C" w14:textId="2C1BC4BD" w:rsidR="00D85BBA" w:rsidRPr="00D85BBA" w:rsidRDefault="00D85BBA">
                            <w:pPr>
                              <w:rPr>
                                <w:sz w:val="21"/>
                              </w:rPr>
                            </w:pPr>
                            <w:r w:rsidRPr="00D85BBA">
                              <w:rPr>
                                <w:sz w:val="21"/>
                              </w:rPr>
                              <w:t xml:space="preserve">Figure 6: Scatterplot of pre-match score and fitness index. Least squared regressions are shown for both together (black), and for OK (orange) and KO (blue) individually. The slopes appear to differ by origin, supporting m6.pi as the optimal model.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3B7D9A" id="Text Box 29" o:spid="_x0000_s1031" type="#_x0000_t202" style="position:absolute;margin-left:402.9pt;margin-top:136.35pt;width:132.25pt;height:261.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" filled="f" strokecolor="black [3213]">
                <v:textbox>
                  <w:txbxContent>
                    <w:p w14:paraId="340E751A" w14:textId="459551C5" w:rsidR="00D85BBA" w:rsidRDefault="00D85BBA">
                      <w:r w:rsidRPr="00D85BBA">
                        <w:rPr>
                          <w:noProof/>
                        </w:rPr>
                        <w:drawing>
                          <wp:inline distT="0" distB="0" distL="0" distR="0" wp14:anchorId="0C6EC6DD" wp14:editId="557D9BE6">
                            <wp:extent cx="1548174" cy="1551121"/>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3833"/>
                                    <a:stretch/>
                                  </pic:blipFill>
                                  <pic:spPr bwMode="auto">
                                    <a:xfrm>
                                      <a:off x="0" y="0"/>
                                      <a:ext cx="1572992" cy="1575986"/>
                                    </a:xfrm>
                                    <a:prstGeom prst="rect">
                                      <a:avLst/>
                                    </a:prstGeom>
                                    <a:ln>
                                      <a:noFill/>
                                    </a:ln>
                                    <a:extLst>
                                      <a:ext uri="{53640926-AAD7-44D8-BBD7-CCE9431645EC}">
                                        <a14:shadowObscured xmlns:a14="http://schemas.microsoft.com/office/drawing/2010/main"/>
                                      </a:ext>
                                    </a:extLst>
                                  </pic:spPr>
                                </pic:pic>
                              </a:graphicData>
                            </a:graphic>
                          </wp:inline>
                        </w:drawing>
                      </w:r>
                    </w:p>
                    <w:p w14:paraId="57F0D13C" w14:textId="2C1BC4BD" w:rsidR="00D85BBA" w:rsidRPr="00D85BBA" w:rsidRDefault="00D85BBA">
                      <w:pPr>
                        <w:rPr>
                          <w:sz w:val="21"/>
                        </w:rPr>
                      </w:pPr>
                      <w:r w:rsidRPr="00D85BBA">
                        <w:rPr>
                          <w:sz w:val="21"/>
                        </w:rPr>
                        <w:t xml:space="preserve">Figure 6: Scatterplot of pre-match score and fitness index. Least squared regressions are shown for both together (black), and for OK (orange) and KO (blue) individually. The slopes appear to differ by origin, supporting m6.pi as the optimal model. </w:t>
                      </w:r>
                    </w:p>
                  </w:txbxContent>
                </v:textbox>
                <w10:wrap type="square"/>
              </v:shape>
            </w:pict>
          </mc:Fallback>
        </mc:AlternateContent>
      </w:r>
      <w:r w:rsidR="00540643">
        <w:rPr>
          <w:sz w:val="22"/>
          <w:szCs w:val="22"/>
        </w:rPr>
        <w:t>What factors are important for predicting a coral</w:t>
      </w:r>
      <w:r w:rsidR="007F73C8">
        <w:rPr>
          <w:sz w:val="22"/>
          <w:szCs w:val="22"/>
        </w:rPr>
        <w:t>’</w:t>
      </w:r>
      <w:r w:rsidR="00540643">
        <w:rPr>
          <w:sz w:val="22"/>
          <w:szCs w:val="22"/>
        </w:rPr>
        <w:t xml:space="preserve">s fitness under </w:t>
      </w:r>
      <w:r w:rsidR="007F73C8">
        <w:rPr>
          <w:sz w:val="22"/>
          <w:szCs w:val="22"/>
        </w:rPr>
        <w:t>altered</w:t>
      </w:r>
      <w:r w:rsidR="00540643">
        <w:rPr>
          <w:sz w:val="22"/>
          <w:szCs w:val="22"/>
        </w:rPr>
        <w:t xml:space="preserve"> conditions? To address this question, we compared multivariate linear models including different combinations of demographic, genotypic, epigenetic, and transcriptional data. </w:t>
      </w:r>
      <w:r w:rsidR="00C23F02">
        <w:rPr>
          <w:sz w:val="22"/>
          <w:szCs w:val="22"/>
        </w:rPr>
        <w:t xml:space="preserve">This allowed us to assess the importance of GBM in predicting fitness. We found that the posterior distributions for </w:t>
      </w:r>
      <w:r w:rsidR="00C23F02" w:rsidRPr="007F73C8">
        <w:rPr>
          <w:i/>
          <w:sz w:val="22"/>
          <w:szCs w:val="22"/>
        </w:rPr>
        <w:t>pre-acclimation</w:t>
      </w:r>
      <w:r w:rsidR="00C23F02">
        <w:rPr>
          <w:sz w:val="22"/>
          <w:szCs w:val="22"/>
        </w:rPr>
        <w:t xml:space="preserve"> and </w:t>
      </w:r>
      <w:r w:rsidR="00C23F02" w:rsidRPr="007F73C8">
        <w:rPr>
          <w:i/>
          <w:sz w:val="22"/>
          <w:szCs w:val="22"/>
        </w:rPr>
        <w:t>shift</w:t>
      </w:r>
      <w:r w:rsidR="007F73C8">
        <w:rPr>
          <w:sz w:val="22"/>
          <w:szCs w:val="22"/>
        </w:rPr>
        <w:t xml:space="preserve"> were stable across models (data not shown</w:t>
      </w:r>
      <w:r w:rsidR="00C23F02">
        <w:rPr>
          <w:sz w:val="22"/>
          <w:szCs w:val="22"/>
        </w:rPr>
        <w:t xml:space="preserve">), indicating that </w:t>
      </w:r>
      <w:r w:rsidR="001B295B">
        <w:rPr>
          <w:sz w:val="22"/>
          <w:szCs w:val="22"/>
        </w:rPr>
        <w:t xml:space="preserve">these predictors </w:t>
      </w:r>
      <w:r w:rsidR="004647C4">
        <w:rPr>
          <w:sz w:val="22"/>
          <w:szCs w:val="22"/>
        </w:rPr>
        <w:t>remain</w:t>
      </w:r>
      <w:r w:rsidR="00271C69">
        <w:rPr>
          <w:sz w:val="22"/>
          <w:szCs w:val="22"/>
        </w:rPr>
        <w:t>ed</w:t>
      </w:r>
      <w:r w:rsidR="004647C4">
        <w:rPr>
          <w:sz w:val="22"/>
          <w:szCs w:val="22"/>
        </w:rPr>
        <w:t xml:space="preserve"> important even when genetic and gene expression predictors are added. By comparing the models using WAIC we found that the top three models were either m0 (pre-acclimation + shift only), m6.pi (pre-acclimation + shift + pre-acclimation*origin interaction) and m6</w:t>
      </w:r>
      <w:r>
        <w:rPr>
          <w:sz w:val="22"/>
          <w:szCs w:val="22"/>
        </w:rPr>
        <w:t>.</w:t>
      </w:r>
      <w:r w:rsidR="004647C4">
        <w:rPr>
          <w:sz w:val="22"/>
          <w:szCs w:val="22"/>
        </w:rPr>
        <w:t xml:space="preserve">bi (pre-acclimation + shift + pre-acclimation*origin interaction + shift*origin interaction). These models appeared roughly equal in their predictive accuracy, although m6.pi was </w:t>
      </w:r>
      <w:r w:rsidR="00271C69">
        <w:rPr>
          <w:sz w:val="22"/>
          <w:szCs w:val="22"/>
        </w:rPr>
        <w:t>often weighted higher</w:t>
      </w:r>
      <w:r w:rsidR="004647C4">
        <w:rPr>
          <w:sz w:val="22"/>
          <w:szCs w:val="22"/>
        </w:rPr>
        <w:t>. The same analysis using AIC on frequentist models found m6.pi to be the optimal model.</w:t>
      </w:r>
      <w:r w:rsidR="00730652">
        <w:rPr>
          <w:sz w:val="22"/>
          <w:szCs w:val="22"/>
        </w:rPr>
        <w:t xml:space="preserve"> This indicates that the effect of pre-acclimation varied based on origin (or transplantation site, as these are </w:t>
      </w:r>
      <w:r w:rsidR="00271C69">
        <w:rPr>
          <w:sz w:val="22"/>
          <w:szCs w:val="22"/>
        </w:rPr>
        <w:t xml:space="preserve">effectively </w:t>
      </w:r>
      <w:r w:rsidR="00730652">
        <w:rPr>
          <w:sz w:val="22"/>
          <w:szCs w:val="22"/>
        </w:rPr>
        <w:t>the same variable within the transplanted corals).</w:t>
      </w:r>
      <w:r>
        <w:rPr>
          <w:sz w:val="22"/>
          <w:szCs w:val="22"/>
        </w:rPr>
        <w:t xml:space="preserve"> The scatterplot of the individual relationships supports this</w:t>
      </w:r>
      <w:r w:rsidR="00271C69">
        <w:rPr>
          <w:sz w:val="22"/>
          <w:szCs w:val="22"/>
        </w:rPr>
        <w:t xml:space="preserve"> (fig. 6)</w:t>
      </w:r>
      <w:r>
        <w:rPr>
          <w:sz w:val="22"/>
          <w:szCs w:val="22"/>
        </w:rPr>
        <w:t>.</w:t>
      </w:r>
    </w:p>
    <w:p w14:paraId="3A935774" w14:textId="77777777" w:rsidR="00D85BBA" w:rsidRDefault="00D85BBA">
      <w:pPr>
        <w:rPr>
          <w:sz w:val="22"/>
          <w:szCs w:val="22"/>
        </w:rPr>
      </w:pPr>
    </w:p>
    <w:p w14:paraId="4993214A" w14:textId="032EA5F4" w:rsidR="004647C4" w:rsidRDefault="004647C4">
      <w:pPr>
        <w:rPr>
          <w:i/>
          <w:sz w:val="22"/>
          <w:szCs w:val="22"/>
        </w:rPr>
      </w:pPr>
      <w:r>
        <w:rPr>
          <w:i/>
          <w:sz w:val="22"/>
          <w:szCs w:val="22"/>
        </w:rPr>
        <w:t>Conclusions:</w:t>
      </w:r>
    </w:p>
    <w:p w14:paraId="2C70EC86" w14:textId="27D0BE49" w:rsidR="004647C4" w:rsidRPr="004647C4" w:rsidRDefault="004647C4" w:rsidP="00271C69">
      <w:pPr>
        <w:ind w:firstLine="720"/>
        <w:rPr>
          <w:sz w:val="22"/>
          <w:szCs w:val="22"/>
        </w:rPr>
      </w:pPr>
      <w:r>
        <w:rPr>
          <w:sz w:val="22"/>
          <w:szCs w:val="22"/>
        </w:rPr>
        <w:t xml:space="preserve">We found that both components of GBM-match score were important for predicting fitness. This suggests that both standing </w:t>
      </w:r>
      <w:r w:rsidR="00553496">
        <w:rPr>
          <w:sz w:val="22"/>
          <w:szCs w:val="22"/>
        </w:rPr>
        <w:t xml:space="preserve">epigenetics </w:t>
      </w:r>
      <w:r>
        <w:rPr>
          <w:sz w:val="22"/>
          <w:szCs w:val="22"/>
        </w:rPr>
        <w:t>variation and the magnitude of plastic response are linked with individual fitness.</w:t>
      </w:r>
      <w:r w:rsidR="00D85BBA">
        <w:rPr>
          <w:sz w:val="22"/>
          <w:szCs w:val="22"/>
        </w:rPr>
        <w:t xml:space="preserve"> It is surprising that GBM correlated with fitness, whereas genotype and gene expression were poorly correlated.</w:t>
      </w:r>
      <w:r w:rsidR="007829D3">
        <w:rPr>
          <w:sz w:val="22"/>
          <w:szCs w:val="22"/>
        </w:rPr>
        <w:t xml:space="preserve"> This certainly does not mean that genotype and gene expression are unimportant for fitness, rather for this particular dataset, GBM happens to have the greatest predictive power. This could be because the MBD-</w:t>
      </w:r>
      <w:proofErr w:type="spellStart"/>
      <w:r w:rsidR="007829D3">
        <w:rPr>
          <w:sz w:val="22"/>
          <w:szCs w:val="22"/>
        </w:rPr>
        <w:t>seq</w:t>
      </w:r>
      <w:proofErr w:type="spellEnd"/>
      <w:r w:rsidR="007829D3">
        <w:rPr>
          <w:sz w:val="22"/>
          <w:szCs w:val="22"/>
        </w:rPr>
        <w:t xml:space="preserve"> data were of higher quality than the Tag-</w:t>
      </w:r>
      <w:proofErr w:type="spellStart"/>
      <w:r w:rsidR="007829D3">
        <w:rPr>
          <w:sz w:val="22"/>
          <w:szCs w:val="22"/>
        </w:rPr>
        <w:t>seq</w:t>
      </w:r>
      <w:proofErr w:type="spellEnd"/>
      <w:r w:rsidR="007829D3">
        <w:rPr>
          <w:sz w:val="22"/>
          <w:szCs w:val="22"/>
        </w:rPr>
        <w:t xml:space="preserve"> and SNP data.</w:t>
      </w:r>
      <w:r w:rsidR="00553496">
        <w:rPr>
          <w:sz w:val="22"/>
          <w:szCs w:val="22"/>
        </w:rPr>
        <w:t xml:space="preserve"> </w:t>
      </w:r>
      <w:proofErr w:type="gramStart"/>
      <w:r w:rsidR="00553496">
        <w:rPr>
          <w:sz w:val="22"/>
          <w:szCs w:val="22"/>
        </w:rPr>
        <w:t>However</w:t>
      </w:r>
      <w:proofErr w:type="gramEnd"/>
      <w:r w:rsidR="00553496">
        <w:rPr>
          <w:sz w:val="22"/>
          <w:szCs w:val="22"/>
        </w:rPr>
        <w:t xml:space="preserve"> it is also possible that GBM provides a better readout of physiologically </w:t>
      </w:r>
      <w:r w:rsidR="00E70AE6">
        <w:rPr>
          <w:sz w:val="22"/>
          <w:szCs w:val="22"/>
        </w:rPr>
        <w:t>relevant</w:t>
      </w:r>
      <w:r w:rsidR="00553496">
        <w:rPr>
          <w:sz w:val="22"/>
          <w:szCs w:val="22"/>
        </w:rPr>
        <w:t xml:space="preserve"> genomic mechanisms than either SNPs, or RNA-seq.</w:t>
      </w:r>
      <w:r w:rsidR="007829D3">
        <w:rPr>
          <w:sz w:val="22"/>
          <w:szCs w:val="22"/>
        </w:rPr>
        <w:t xml:space="preserve"> </w:t>
      </w:r>
      <w:r w:rsidR="00D010CC">
        <w:rPr>
          <w:sz w:val="22"/>
          <w:szCs w:val="22"/>
        </w:rPr>
        <w:t>In either case, these</w:t>
      </w:r>
      <w:r w:rsidR="007829D3">
        <w:rPr>
          <w:sz w:val="22"/>
          <w:szCs w:val="22"/>
        </w:rPr>
        <w:t xml:space="preserve"> analyses </w:t>
      </w:r>
      <w:r w:rsidR="00D010CC">
        <w:rPr>
          <w:sz w:val="22"/>
          <w:szCs w:val="22"/>
        </w:rPr>
        <w:t>demonstrate</w:t>
      </w:r>
      <w:r w:rsidR="007829D3">
        <w:rPr>
          <w:sz w:val="22"/>
          <w:szCs w:val="22"/>
        </w:rPr>
        <w:t xml:space="preserve"> </w:t>
      </w:r>
      <w:r w:rsidR="00D010CC">
        <w:rPr>
          <w:sz w:val="22"/>
          <w:szCs w:val="22"/>
        </w:rPr>
        <w:t>a link between</w:t>
      </w:r>
      <w:r w:rsidR="007829D3">
        <w:rPr>
          <w:sz w:val="22"/>
          <w:szCs w:val="22"/>
        </w:rPr>
        <w:t xml:space="preserve"> both pre-acclimation and plasticity of GBM </w:t>
      </w:r>
      <w:r w:rsidR="00D010CC">
        <w:rPr>
          <w:sz w:val="22"/>
          <w:szCs w:val="22"/>
        </w:rPr>
        <w:t xml:space="preserve">and </w:t>
      </w:r>
      <w:r w:rsidR="007829D3">
        <w:rPr>
          <w:sz w:val="22"/>
          <w:szCs w:val="22"/>
        </w:rPr>
        <w:t xml:space="preserve">fitness under </w:t>
      </w:r>
      <w:r w:rsidR="00D010CC">
        <w:rPr>
          <w:sz w:val="22"/>
          <w:szCs w:val="22"/>
        </w:rPr>
        <w:t>altered</w:t>
      </w:r>
      <w:r w:rsidR="007829D3">
        <w:rPr>
          <w:sz w:val="22"/>
          <w:szCs w:val="22"/>
        </w:rPr>
        <w:t xml:space="preserve"> environment</w:t>
      </w:r>
      <w:r w:rsidR="00D010CC">
        <w:rPr>
          <w:sz w:val="22"/>
          <w:szCs w:val="22"/>
        </w:rPr>
        <w:t>al conditions</w:t>
      </w:r>
      <w:r w:rsidR="007829D3">
        <w:rPr>
          <w:sz w:val="22"/>
          <w:szCs w:val="22"/>
        </w:rPr>
        <w:t>.</w:t>
      </w:r>
    </w:p>
    <w:p w14:paraId="55918092" w14:textId="77777777" w:rsidR="00C95241" w:rsidRPr="00474235" w:rsidRDefault="00C95241">
      <w:pPr>
        <w:rPr>
          <w:sz w:val="22"/>
          <w:szCs w:val="22"/>
        </w:rPr>
      </w:pPr>
      <w:bookmarkStart w:id="0" w:name="_GoBack"/>
      <w:bookmarkEnd w:id="0"/>
    </w:p>
    <w:p w14:paraId="5FDD2B9B" w14:textId="77777777" w:rsidR="00C95241" w:rsidRPr="00474235" w:rsidRDefault="00C95241">
      <w:pPr>
        <w:rPr>
          <w:sz w:val="22"/>
          <w:szCs w:val="22"/>
        </w:rPr>
      </w:pPr>
    </w:p>
    <w:p w14:paraId="77E14410" w14:textId="2D4AC41F" w:rsidR="00C95241" w:rsidRPr="00474235" w:rsidRDefault="007A589D">
      <w:pPr>
        <w:rPr>
          <w:sz w:val="22"/>
          <w:szCs w:val="22"/>
        </w:rPr>
      </w:pPr>
      <w:r>
        <w:rPr>
          <w:sz w:val="22"/>
          <w:szCs w:val="22"/>
        </w:rPr>
        <w:t>References:</w:t>
      </w:r>
    </w:p>
    <w:p w14:paraId="17FD1D3D" w14:textId="77777777" w:rsidR="00C95241" w:rsidRPr="00474235" w:rsidRDefault="00C95241">
      <w:pPr>
        <w:rPr>
          <w:sz w:val="22"/>
          <w:szCs w:val="22"/>
        </w:rPr>
      </w:pPr>
    </w:p>
    <w:p w14:paraId="2FE55E9D" w14:textId="1AFB3741" w:rsidR="007B1748" w:rsidRPr="007B1748" w:rsidRDefault="00C95241" w:rsidP="007B1748">
      <w:pPr>
        <w:widowControl w:val="0"/>
        <w:autoSpaceDE w:val="0"/>
        <w:autoSpaceDN w:val="0"/>
        <w:adjustRightInd w:val="0"/>
        <w:ind w:left="640" w:hanging="640"/>
        <w:rPr>
          <w:rFonts w:ascii="Calibri" w:eastAsia="Times New Roman" w:hAnsi="Calibri" w:cs="Times New Roman"/>
          <w:noProof/>
          <w:sz w:val="22"/>
        </w:rPr>
      </w:pPr>
      <w:r w:rsidRPr="00474235">
        <w:rPr>
          <w:sz w:val="22"/>
          <w:szCs w:val="22"/>
        </w:rPr>
        <w:fldChar w:fldCharType="begin" w:fldLock="1"/>
      </w:r>
      <w:r w:rsidRPr="00474235">
        <w:rPr>
          <w:sz w:val="22"/>
          <w:szCs w:val="22"/>
        </w:rPr>
        <w:instrText xml:space="preserve">ADDIN Mendeley Bibliography CSL_BIBLIOGRAPHY </w:instrText>
      </w:r>
      <w:r w:rsidRPr="00474235">
        <w:rPr>
          <w:sz w:val="22"/>
          <w:szCs w:val="22"/>
        </w:rPr>
        <w:fldChar w:fldCharType="separate"/>
      </w:r>
      <w:r w:rsidR="007B1748" w:rsidRPr="007B1748">
        <w:rPr>
          <w:rFonts w:ascii="Calibri" w:eastAsia="Times New Roman" w:hAnsi="Calibri" w:cs="Times New Roman"/>
          <w:noProof/>
          <w:sz w:val="22"/>
        </w:rPr>
        <w:t>1.</w:t>
      </w:r>
      <w:r w:rsidR="007B1748" w:rsidRPr="007B1748">
        <w:rPr>
          <w:rFonts w:ascii="Calibri" w:eastAsia="Times New Roman" w:hAnsi="Calibri" w:cs="Times New Roman"/>
          <w:noProof/>
          <w:sz w:val="22"/>
        </w:rPr>
        <w:tab/>
        <w:t xml:space="preserve">Jombart, T., Devillard, S. &amp; Balloux, F. Discriminant analysis of principal components: a new method for the analysis of genetically structured populations. </w:t>
      </w:r>
      <w:r w:rsidR="007B1748" w:rsidRPr="007B1748">
        <w:rPr>
          <w:rFonts w:ascii="Calibri" w:eastAsia="Times New Roman" w:hAnsi="Calibri" w:cs="Times New Roman"/>
          <w:i/>
          <w:iCs/>
          <w:noProof/>
          <w:sz w:val="22"/>
        </w:rPr>
        <w:t>BMC Genet.</w:t>
      </w:r>
      <w:r w:rsidR="007B1748" w:rsidRPr="007B1748">
        <w:rPr>
          <w:rFonts w:ascii="Calibri" w:eastAsia="Times New Roman" w:hAnsi="Calibri" w:cs="Times New Roman"/>
          <w:noProof/>
          <w:sz w:val="22"/>
        </w:rPr>
        <w:t xml:space="preserve"> </w:t>
      </w:r>
      <w:r w:rsidR="007B1748" w:rsidRPr="007B1748">
        <w:rPr>
          <w:rFonts w:ascii="Calibri" w:eastAsia="Times New Roman" w:hAnsi="Calibri" w:cs="Times New Roman"/>
          <w:b/>
          <w:bCs/>
          <w:noProof/>
          <w:sz w:val="22"/>
        </w:rPr>
        <w:t>11,</w:t>
      </w:r>
      <w:r w:rsidR="007B1748" w:rsidRPr="007B1748">
        <w:rPr>
          <w:rFonts w:ascii="Calibri" w:eastAsia="Times New Roman" w:hAnsi="Calibri" w:cs="Times New Roman"/>
          <w:noProof/>
          <w:sz w:val="22"/>
        </w:rPr>
        <w:t xml:space="preserve"> 94 (2010).</w:t>
      </w:r>
    </w:p>
    <w:p w14:paraId="0D6B8ADA" w14:textId="77777777" w:rsidR="007B1748" w:rsidRPr="007B1748" w:rsidRDefault="007B1748" w:rsidP="007B1748">
      <w:pPr>
        <w:widowControl w:val="0"/>
        <w:autoSpaceDE w:val="0"/>
        <w:autoSpaceDN w:val="0"/>
        <w:adjustRightInd w:val="0"/>
        <w:ind w:left="640" w:hanging="640"/>
        <w:rPr>
          <w:rFonts w:ascii="Calibri" w:eastAsia="Times New Roman" w:hAnsi="Calibri" w:cs="Times New Roman"/>
          <w:noProof/>
          <w:sz w:val="22"/>
        </w:rPr>
      </w:pPr>
      <w:r w:rsidRPr="007B1748">
        <w:rPr>
          <w:rFonts w:ascii="Calibri" w:eastAsia="Times New Roman" w:hAnsi="Calibri" w:cs="Times New Roman"/>
          <w:noProof/>
          <w:sz w:val="22"/>
        </w:rPr>
        <w:t>2.</w:t>
      </w:r>
      <w:r w:rsidRPr="007B1748">
        <w:rPr>
          <w:rFonts w:ascii="Calibri" w:eastAsia="Times New Roman" w:hAnsi="Calibri" w:cs="Times New Roman"/>
          <w:noProof/>
          <w:sz w:val="22"/>
        </w:rPr>
        <w:tab/>
        <w:t xml:space="preserve">Kenkel, C. &amp; Matz, M. V. Enhanced gene expression plasticity as a mechanism of adaptation to a variable environment in a reef-building coral. </w:t>
      </w:r>
      <w:r w:rsidRPr="007B1748">
        <w:rPr>
          <w:rFonts w:ascii="Calibri" w:eastAsia="Times New Roman" w:hAnsi="Calibri" w:cs="Times New Roman"/>
          <w:i/>
          <w:iCs/>
          <w:noProof/>
          <w:sz w:val="22"/>
        </w:rPr>
        <w:t>Nat. Ecol. Evol.</w:t>
      </w:r>
      <w:r w:rsidRPr="007B1748">
        <w:rPr>
          <w:rFonts w:ascii="Calibri" w:eastAsia="Times New Roman" w:hAnsi="Calibri" w:cs="Times New Roman"/>
          <w:noProof/>
          <w:sz w:val="22"/>
        </w:rPr>
        <w:t xml:space="preserve"> </w:t>
      </w:r>
      <w:r w:rsidRPr="007B1748">
        <w:rPr>
          <w:rFonts w:ascii="Calibri" w:eastAsia="Times New Roman" w:hAnsi="Calibri" w:cs="Times New Roman"/>
          <w:b/>
          <w:bCs/>
          <w:noProof/>
          <w:sz w:val="22"/>
        </w:rPr>
        <w:t>1,</w:t>
      </w:r>
      <w:r w:rsidRPr="007B1748">
        <w:rPr>
          <w:rFonts w:ascii="Calibri" w:eastAsia="Times New Roman" w:hAnsi="Calibri" w:cs="Times New Roman"/>
          <w:noProof/>
          <w:sz w:val="22"/>
        </w:rPr>
        <w:t xml:space="preserve"> 14 (2016).</w:t>
      </w:r>
    </w:p>
    <w:p w14:paraId="71BA8131" w14:textId="77777777" w:rsidR="007B1748" w:rsidRPr="007B1748" w:rsidRDefault="007B1748" w:rsidP="007B1748">
      <w:pPr>
        <w:widowControl w:val="0"/>
        <w:autoSpaceDE w:val="0"/>
        <w:autoSpaceDN w:val="0"/>
        <w:adjustRightInd w:val="0"/>
        <w:ind w:left="640" w:hanging="640"/>
        <w:rPr>
          <w:rFonts w:ascii="Calibri" w:hAnsi="Calibri"/>
          <w:noProof/>
          <w:sz w:val="22"/>
        </w:rPr>
      </w:pPr>
      <w:r w:rsidRPr="007B1748">
        <w:rPr>
          <w:rFonts w:ascii="Calibri" w:eastAsia="Times New Roman" w:hAnsi="Calibri" w:cs="Times New Roman"/>
          <w:noProof/>
          <w:sz w:val="22"/>
        </w:rPr>
        <w:t>3.</w:t>
      </w:r>
      <w:r w:rsidRPr="007B1748">
        <w:rPr>
          <w:rFonts w:ascii="Calibri" w:eastAsia="Times New Roman" w:hAnsi="Calibri" w:cs="Times New Roman"/>
          <w:noProof/>
          <w:sz w:val="22"/>
        </w:rPr>
        <w:tab/>
        <w:t xml:space="preserve">McElreath, R. </w:t>
      </w:r>
      <w:r w:rsidRPr="007B1748">
        <w:rPr>
          <w:rFonts w:ascii="Calibri" w:eastAsia="Times New Roman" w:hAnsi="Calibri" w:cs="Times New Roman"/>
          <w:i/>
          <w:iCs/>
          <w:noProof/>
          <w:sz w:val="22"/>
        </w:rPr>
        <w:t>Statistical Rethining A Bayesian Course with Examples in R and Stan</w:t>
      </w:r>
      <w:r w:rsidRPr="007B1748">
        <w:rPr>
          <w:rFonts w:ascii="Calibri" w:eastAsia="Times New Roman" w:hAnsi="Calibri" w:cs="Times New Roman"/>
          <w:noProof/>
          <w:sz w:val="22"/>
        </w:rPr>
        <w:t>. (CRC Press, 2016).</w:t>
      </w:r>
    </w:p>
    <w:p w14:paraId="161C2A2E" w14:textId="26F09DB3" w:rsidR="00C95241" w:rsidRPr="00474235" w:rsidRDefault="00C95241" w:rsidP="007B1748">
      <w:pPr>
        <w:widowControl w:val="0"/>
        <w:autoSpaceDE w:val="0"/>
        <w:autoSpaceDN w:val="0"/>
        <w:adjustRightInd w:val="0"/>
        <w:ind w:left="640" w:hanging="640"/>
        <w:rPr>
          <w:sz w:val="22"/>
          <w:szCs w:val="22"/>
        </w:rPr>
      </w:pPr>
      <w:r w:rsidRPr="00474235">
        <w:rPr>
          <w:sz w:val="22"/>
          <w:szCs w:val="22"/>
        </w:rPr>
        <w:fldChar w:fldCharType="end"/>
      </w:r>
    </w:p>
    <w:sectPr w:rsidR="00C95241" w:rsidRPr="00474235" w:rsidSect="00925049">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proofState w:spelling="clean" w:grammar="clean"/>
  <w:defaultTabStop w:val="720"/>
  <w:drawingGridHorizontalSpacing w:val="12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1F3A"/>
    <w:rsid w:val="00000D1A"/>
    <w:rsid w:val="0001601D"/>
    <w:rsid w:val="0002147B"/>
    <w:rsid w:val="00064505"/>
    <w:rsid w:val="000B7544"/>
    <w:rsid w:val="000B7DFE"/>
    <w:rsid w:val="000D7057"/>
    <w:rsid w:val="000E4B87"/>
    <w:rsid w:val="00104A51"/>
    <w:rsid w:val="00183E94"/>
    <w:rsid w:val="00192BAF"/>
    <w:rsid w:val="001B295B"/>
    <w:rsid w:val="00211793"/>
    <w:rsid w:val="002162A9"/>
    <w:rsid w:val="00234A1F"/>
    <w:rsid w:val="00271C69"/>
    <w:rsid w:val="00295259"/>
    <w:rsid w:val="0033269F"/>
    <w:rsid w:val="00356DB4"/>
    <w:rsid w:val="00393B95"/>
    <w:rsid w:val="00450C1B"/>
    <w:rsid w:val="004647C4"/>
    <w:rsid w:val="00474235"/>
    <w:rsid w:val="00532217"/>
    <w:rsid w:val="00540643"/>
    <w:rsid w:val="00542511"/>
    <w:rsid w:val="00553496"/>
    <w:rsid w:val="00557524"/>
    <w:rsid w:val="00574D64"/>
    <w:rsid w:val="0058313B"/>
    <w:rsid w:val="00583F70"/>
    <w:rsid w:val="00586AB9"/>
    <w:rsid w:val="005A7D9E"/>
    <w:rsid w:val="005E15D2"/>
    <w:rsid w:val="005F5261"/>
    <w:rsid w:val="00611189"/>
    <w:rsid w:val="006761E6"/>
    <w:rsid w:val="006A5E50"/>
    <w:rsid w:val="006C118D"/>
    <w:rsid w:val="006F254C"/>
    <w:rsid w:val="006F7771"/>
    <w:rsid w:val="00730652"/>
    <w:rsid w:val="0074092A"/>
    <w:rsid w:val="00761F3A"/>
    <w:rsid w:val="007829D3"/>
    <w:rsid w:val="007A589D"/>
    <w:rsid w:val="007B1748"/>
    <w:rsid w:val="007F73C8"/>
    <w:rsid w:val="00852DD8"/>
    <w:rsid w:val="008D0072"/>
    <w:rsid w:val="00925049"/>
    <w:rsid w:val="0093273E"/>
    <w:rsid w:val="00934E41"/>
    <w:rsid w:val="00944843"/>
    <w:rsid w:val="009D0CD4"/>
    <w:rsid w:val="009F501C"/>
    <w:rsid w:val="00A133F1"/>
    <w:rsid w:val="00A86066"/>
    <w:rsid w:val="00AA0710"/>
    <w:rsid w:val="00AC3155"/>
    <w:rsid w:val="00AD3965"/>
    <w:rsid w:val="00B14A81"/>
    <w:rsid w:val="00B20824"/>
    <w:rsid w:val="00B461BF"/>
    <w:rsid w:val="00BC1948"/>
    <w:rsid w:val="00C215AB"/>
    <w:rsid w:val="00C23F02"/>
    <w:rsid w:val="00C57491"/>
    <w:rsid w:val="00C7298F"/>
    <w:rsid w:val="00C95241"/>
    <w:rsid w:val="00CE720F"/>
    <w:rsid w:val="00D010CC"/>
    <w:rsid w:val="00D85BBA"/>
    <w:rsid w:val="00DD4571"/>
    <w:rsid w:val="00E32D73"/>
    <w:rsid w:val="00E45A99"/>
    <w:rsid w:val="00E67F5F"/>
    <w:rsid w:val="00E70AE6"/>
    <w:rsid w:val="00EB4498"/>
    <w:rsid w:val="00F36850"/>
    <w:rsid w:val="00FD2C4A"/>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F754D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C95241"/>
    <w:pPr>
      <w:spacing w:after="200"/>
    </w:pPr>
    <w:rPr>
      <w:i/>
      <w:iCs/>
      <w:color w:val="44546A" w:themeColor="text2"/>
      <w:sz w:val="18"/>
      <w:szCs w:val="18"/>
    </w:rPr>
  </w:style>
  <w:style w:type="character" w:styleId="PlaceholderText">
    <w:name w:val="Placeholder Text"/>
    <w:basedOn w:val="DefaultParagraphFont"/>
    <w:uiPriority w:val="99"/>
    <w:semiHidden/>
    <w:rsid w:val="0054251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639213">
      <w:bodyDiv w:val="1"/>
      <w:marLeft w:val="0"/>
      <w:marRight w:val="0"/>
      <w:marTop w:val="0"/>
      <w:marBottom w:val="0"/>
      <w:divBdr>
        <w:top w:val="none" w:sz="0" w:space="0" w:color="auto"/>
        <w:left w:val="none" w:sz="0" w:space="0" w:color="auto"/>
        <w:bottom w:val="none" w:sz="0" w:space="0" w:color="auto"/>
        <w:right w:val="none" w:sz="0" w:space="0" w:color="auto"/>
      </w:divBdr>
    </w:div>
    <w:div w:id="170979855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tif"/><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3</Pages>
  <Words>2278</Words>
  <Characters>12988</Characters>
  <Application>Microsoft Macintosh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15236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Groves Dixon</dc:creator>
  <cp:keywords/>
  <dc:description/>
  <cp:lastModifiedBy>Groves Dixon</cp:lastModifiedBy>
  <cp:revision>14</cp:revision>
  <dcterms:created xsi:type="dcterms:W3CDTF">2017-05-12T19:05:00Z</dcterms:created>
  <dcterms:modified xsi:type="dcterms:W3CDTF">2017-05-12T19:56:00Z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c63fd871-815d-3aba-8ee5-97aa8ebe9158</vt:lpwstr>
  </property>
  <property fmtid="{D5CDD505-2E9C-101B-9397-08002B2CF9AE}" pid="4" name="Mendeley Citation Style_1">
    <vt:lpwstr>http://www.zotero.org/styles/nature</vt:lpwstr>
  </property>
</Properties>
</file>