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jc w:val="center"/>
        <w:rPr>
          <w:rFonts w:ascii="DejaVu Math TeX Gyre" w:hAnsi="DejaVu Math TeX Gyre"/>
          <w:b/>
          <w:bCs/>
          <w:i/>
          <w:i/>
          <w:iCs/>
          <w:sz w:val="26"/>
          <w:szCs w:val="26"/>
        </w:rPr>
      </w:pPr>
      <w:r>
        <w:rPr>
          <w:rFonts w:ascii="DejaVu Math TeX Gyre" w:hAnsi="DejaVu Math TeX Gyre"/>
          <w:b/>
          <w:bCs/>
          <w:i/>
          <w:iCs/>
          <w:sz w:val="26"/>
          <w:szCs w:val="26"/>
        </w:rPr>
        <w:t>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  <w:i/>
          <w:i/>
          <w:iCs/>
          <w:sz w:val="26"/>
          <w:szCs w:val="26"/>
        </w:rPr>
      </w:pPr>
      <w:r>
        <w:rPr>
          <w:rFonts w:ascii="DejaVu Math TeX Gyre" w:hAnsi="DejaVu Math TeX Gyre"/>
          <w:b/>
          <w:bCs/>
          <w:i/>
          <w:iCs/>
          <w:sz w:val="26"/>
          <w:szCs w:val="26"/>
        </w:rPr>
        <w:t xml:space="preserve">   </w:t>
      </w:r>
      <w:r>
        <w:rPr>
          <w:rFonts w:ascii="DejaVu Math TeX Gyre" w:hAnsi="DejaVu Math TeX Gyre"/>
          <w:b/>
          <w:bCs/>
          <w:i/>
          <w:iCs/>
          <w:sz w:val="26"/>
          <w:szCs w:val="26"/>
        </w:rPr>
        <w:t>GTC-MA PROJECT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  <w:i/>
          <w:i/>
          <w:iCs/>
          <w:sz w:val="26"/>
          <w:szCs w:val="26"/>
        </w:rPr>
      </w:pPr>
      <w:r>
        <w:rPr>
          <w:rFonts w:ascii="DejaVu Math TeX Gyre" w:hAnsi="DejaVu Math TeX Gyre"/>
          <w:b/>
          <w:bCs/>
          <w:i/>
          <w:iCs/>
          <w:sz w:val="26"/>
          <w:szCs w:val="26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  <w:i/>
          <w:i/>
          <w:iCs/>
          <w:sz w:val="26"/>
          <w:szCs w:val="26"/>
        </w:rPr>
      </w:pPr>
      <w:r>
        <w:rPr>
          <w:rFonts w:ascii="DejaVu Math TeX Gyre" w:hAnsi="DejaVu Math TeX Gyre"/>
          <w:b/>
          <w:bCs/>
          <w:i/>
          <w:iCs/>
          <w:sz w:val="26"/>
          <w:szCs w:val="26"/>
        </w:rPr>
        <w:t xml:space="preserve">   </w:t>
      </w:r>
      <w:r>
        <w:rPr>
          <w:rFonts w:ascii="DejaVu Math TeX Gyre" w:hAnsi="DejaVu Math TeX Gyre"/>
          <w:b/>
          <w:bCs/>
          <w:i/>
          <w:iCs/>
          <w:sz w:val="26"/>
          <w:szCs w:val="26"/>
        </w:rPr>
        <w:t>Academic Metadata Correction Working Group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  <w:i/>
          <w:i/>
          <w:iCs/>
          <w:sz w:val="26"/>
          <w:szCs w:val="26"/>
        </w:rPr>
      </w:pPr>
      <w:r>
        <w:rPr>
          <w:rFonts w:ascii="DejaVu Math TeX Gyre" w:hAnsi="DejaVu Math TeX Gyre"/>
          <w:b/>
          <w:bCs/>
          <w:i/>
          <w:iCs/>
          <w:sz w:val="26"/>
          <w:szCs w:val="26"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  <w:i/>
          <w:i/>
          <w:iCs/>
          <w:sz w:val="26"/>
          <w:szCs w:val="26"/>
        </w:rPr>
      </w:pPr>
      <w:r>
        <w:rPr>
          <w:rFonts w:ascii="DejaVu Math TeX Gyre" w:hAnsi="DejaVu Math TeX Gyre"/>
          <w:b/>
          <w:bCs/>
          <w:i/>
          <w:iCs/>
          <w:sz w:val="26"/>
          <w:szCs w:val="26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  <w:i/>
          <w:i/>
          <w:iCs/>
          <w:sz w:val="26"/>
          <w:szCs w:val="26"/>
        </w:rPr>
      </w:pPr>
      <w:r>
        <w:rPr>
          <w:rFonts w:ascii="DejaVu Math TeX Gyre" w:hAnsi="DejaVu Math TeX Gyre"/>
          <w:b/>
          <w:bCs/>
          <w:i/>
          <w:iCs/>
          <w:sz w:val="26"/>
          <w:szCs w:val="26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  <w:i/>
          <w:i/>
          <w:iCs/>
          <w:sz w:val="26"/>
          <w:szCs w:val="26"/>
        </w:rPr>
      </w:pPr>
      <w:r>
        <w:rPr>
          <w:rFonts w:ascii="DejaVu Math TeX Gyre" w:hAnsi="DejaVu Math TeX Gyre"/>
          <w:b/>
          <w:bCs/>
          <w:i/>
          <w:iCs/>
          <w:sz w:val="26"/>
          <w:szCs w:val="26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  <w:i/>
          <w:i/>
          <w:iCs/>
          <w:sz w:val="26"/>
          <w:szCs w:val="26"/>
        </w:rPr>
      </w:pPr>
      <w:r>
        <w:rPr>
          <w:rFonts w:ascii="DejaVu Math TeX Gyre" w:hAnsi="DejaVu Math TeX Gyre"/>
          <w:b/>
          <w:bCs/>
          <w:i/>
          <w:iCs/>
          <w:sz w:val="26"/>
          <w:szCs w:val="26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Founder: Jeremías Oberschelp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Contact email: jeremias.oberschelp@[domain.com]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Start date: February 12, 2026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Version: 1.0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Status: Active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INDEX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1. Justification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2. Objectives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3. Operational structure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4. Action protocol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5. Inaugural case: Modeling Love Dynamics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6. Documented evidence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7. Next steps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8. Annexes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1. JUSTIFICATION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Academic metadata has become a graveyard of silent errors.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A single corrupted record replicates across dozens of catalogs,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making knowledge invisible or distorted.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There is no formal citizen channel to report and demand correction.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An individual researcher is ignored. An institutional group is not.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GTC-MA is born to audit, document, and correct serious errors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in the global bibliographic infrastructure.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2. OBJECTIVES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General: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To establish a replicable, public, and effective mechanism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for detecting and correcting errors in academic bibliographic metadata.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Specific: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1. Document cases of contamination by ISBN, platform, and error type.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2. Intervene systematically with publishers, libraries, and aggregators.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3. Demand correction with deadlines and public verification.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4. Raise awareness about negligence in catalog maintenance.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5. Propose minimum quality control standards for metadata.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3. OPERATIONAL STRUCTURE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</w:rPr>
      </w:pPr>
      <w:r>
        <w:rPr>
          <w:rFonts w:ascii="DejaVu Math TeX Gyre" w:hAnsi="DejaVu Math TeX Gyre"/>
        </w:rPr>
        <w:t>Role                  |                                    Holder               |</w:t>
        <w:tab/>
        <w:tab/>
        <w:tab/>
        <w:t xml:space="preserve"> Function</w:t>
      </w:r>
    </w:p>
    <w:p>
      <w:pPr>
        <w:pStyle w:val="Textopreformateado"/>
        <w:bidi w:val="0"/>
        <w:jc w:val="center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both"/>
        <w:rPr>
          <w:rFonts w:ascii="DejaVu Math TeX Gyre" w:hAnsi="DejaVu Math TeX Gyre"/>
        </w:rPr>
      </w:pPr>
      <w:r>
        <w:rPr>
          <w:rFonts w:ascii="DejaVu Math TeX Gyre" w:hAnsi="DejaVu Math TeX Gyre"/>
        </w:rPr>
        <w:t>General Coordinator   | Jeremías Oberschelp  | Strategy, spokesperson, follow-up</w:t>
      </w:r>
    </w:p>
    <w:p>
      <w:pPr>
        <w:pStyle w:val="Textopreformateado"/>
        <w:bidi w:val="0"/>
        <w:jc w:val="both"/>
        <w:rPr>
          <w:rFonts w:ascii="DejaVu Math TeX Gyre" w:hAnsi="DejaVu Math TeX Gyre"/>
        </w:rPr>
      </w:pPr>
      <w:r>
        <w:rPr>
          <w:rFonts w:ascii="DejaVu Math TeX Gyre" w:hAnsi="DejaVu Math TeX Gyre"/>
        </w:rPr>
        <w:t>Metadata Analyst        | To be appointed         | Verifies errors, documents evidence</w:t>
      </w:r>
    </w:p>
    <w:p>
      <w:pPr>
        <w:pStyle w:val="Textopreformateado"/>
        <w:bidi w:val="0"/>
        <w:jc w:val="both"/>
        <w:rPr>
          <w:rFonts w:ascii="DejaVu Math TeX Gyre" w:hAnsi="DejaVu Math TeX Gyre"/>
        </w:rPr>
      </w:pPr>
      <w:r>
        <w:rPr>
          <w:rFonts w:ascii="DejaVu Math TeX Gyre" w:hAnsi="DejaVu Math TeX Gyre"/>
        </w:rPr>
        <w:t>Technical Writer         | To be appointed         | Prepares letters, reports, templates</w:t>
      </w:r>
    </w:p>
    <w:p>
      <w:pPr>
        <w:pStyle w:val="Textopreformateado"/>
        <w:bidi w:val="0"/>
        <w:jc w:val="both"/>
        <w:rPr>
          <w:rFonts w:ascii="DejaVu Math TeX Gyre" w:hAnsi="DejaVu Math TeX Gyre"/>
        </w:rPr>
      </w:pPr>
      <w:r>
        <w:rPr>
          <w:rFonts w:ascii="DejaVu Math TeX Gyre" w:hAnsi="DejaVu Math TeX Gyre"/>
        </w:rPr>
        <w:t>Outreach                     | To be appointed         | Academic communication and social media</w:t>
      </w:r>
    </w:p>
    <w:p>
      <w:pPr>
        <w:pStyle w:val="Textopreformateado"/>
        <w:bidi w:val="0"/>
        <w:jc w:val="both"/>
        <w:rPr>
          <w:rFonts w:ascii="DejaVu Math TeX Gyre" w:hAnsi="DejaVu Math TeX Gyre"/>
        </w:rPr>
      </w:pPr>
      <w:r>
        <w:rPr>
          <w:rFonts w:ascii="DejaVu Math TeX Gyre" w:hAnsi="DejaVu Math TeX Gyre"/>
        </w:rPr>
        <w:t>Library Advisor           | To be appointed         | Normative support</w:t>
      </w:r>
    </w:p>
    <w:p>
      <w:pPr>
        <w:pStyle w:val="Textopreformateado"/>
        <w:bidi w:val="0"/>
        <w:jc w:val="both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both"/>
        <w:rPr>
          <w:rFonts w:ascii="DejaVu Math TeX Gyre" w:hAnsi="DejaVu Math TeX Gyre"/>
        </w:rPr>
      </w:pPr>
      <w:r>
        <w:rPr>
          <w:rFonts w:ascii="DejaVu Math TeX Gyre" w:hAnsi="DejaVu Math TeX Gyre"/>
        </w:rPr>
        <w:t>One-person start. Open call for expansion.</w:t>
      </w:r>
    </w:p>
    <w:p>
      <w:pPr>
        <w:pStyle w:val="Textopreformateado"/>
        <w:bidi w:val="0"/>
        <w:jc w:val="both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4. ACTION PROTOCOL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ab/>
        <w:tab/>
        <w:tab/>
        <w:t>Phase 1 – Detection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 Identify ISBN, platform, error type.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 Capture evidence (screenshot, URL, correct reference record).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ab/>
        <w:tab/>
        <w:tab/>
        <w:t>Phase 2 – Notification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 Send formal letter (template by recipient type).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 Deadline: 10 business days for acknowledgment, 30 for correction.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ab/>
        <w:tab/>
        <w:tab/>
        <w:t>Phase 3 – Escalation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 No response: resend with copy to superiors.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 Publish case in public repository.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ab/>
        <w:tab/>
        <w:tab/>
        <w:t>Phase 4 – Verification and closure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 Confirm correction.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 Update case status.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 Acknowledge the entity if diligent.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5. INAUGURAL CASE: Modeling Love Dynamics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Title:      Modeling Love Dynamics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Authors:    S. Rinaldi, F. Della Rossa, F. Dercole, A. Gragnani, P. Landi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Publisher:  World Scientific, 2015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Correct ISBN (hardcover):   978-981-4696-31-9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Affected ISBN:               978-981-4696-33-3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Platforms with error:        IngentaConnect, Bookwire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Detected error: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 The record with ISBN 978-981-4696-33-3 contains the table of contents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 xml:space="preserve">  </w:t>
      </w:r>
      <w:r>
        <w:rPr>
          <w:rFonts w:ascii="DejaVu Math TeX Gyre" w:hAnsi="DejaVu Math TeX Gyre"/>
        </w:rPr>
        <w:t>of a completely different book on US-Japan relations.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 On IngentaConnect, searching by ISBN returns 0 results (the book is invisible).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Verified correct records: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 World Scientific Connect: correct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 British Library: correct (ISBN 978-981-4696-31-9)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6. DOCUMENTED EVIDENCE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 xml:space="preserve">Date       </w:t>
        <w:tab/>
        <w:tab/>
        <w:t xml:space="preserve"> | Evidence                          </w:t>
        <w:tab/>
        <w:tab/>
        <w:t>| File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Feb 12, 2026</w:t>
        <w:tab/>
        <w:tab/>
        <w:t xml:space="preserve">| Letter to British Library         </w:t>
        <w:tab/>
        <w:t>| letter-bl.pdf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Feb 12, 2026</w:t>
        <w:tab/>
        <w:tab/>
        <w:t xml:space="preserve">| Reply from Sam Ziesler (BL)       </w:t>
        <w:tab/>
        <w:t>| sam-reply.png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Feb 13, 2026</w:t>
        <w:tab/>
        <w:tab/>
        <w:t xml:space="preserve">| Ingenta search: 0 results         </w:t>
        <w:tab/>
        <w:t>| ingenta-search-0.jpg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Feb 13, 2026</w:t>
        <w:tab/>
        <w:tab/>
        <w:t xml:space="preserve">| Letter to Scott Winner (CEO)      </w:t>
        <w:tab/>
        <w:t>| letter-scott-winner.pdf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Feb 13, 2026</w:t>
        <w:tab/>
        <w:tab/>
        <w:t xml:space="preserve">| Sent to info, sales, marketing    </w:t>
        <w:tab/>
        <w:t>| ingenta-sent.png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All evidence is available in the public repository.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7. NEXT STEPS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 xml:space="preserve">Date        </w:t>
        <w:tab/>
        <w:tab/>
        <w:t>| Action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Feb 16, 2026</w:t>
        <w:tab/>
        <w:tab/>
        <w:t>| Resend to Ingenta if no response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Feb 18, 2026</w:t>
        <w:tab/>
        <w:tab/>
        <w:t>| Publish case in public repository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Feb 20, 2026</w:t>
        <w:tab/>
        <w:tab/>
        <w:t>| Open call for new members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Feb 23, 2026</w:t>
        <w:tab/>
        <w:tab/>
        <w:t>| Contact Bookwire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Feb 28, 2026</w:t>
        <w:tab/>
        <w:tab/>
        <w:t>| First monthly report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8. ANNEXES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A. Publisher letter template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Subject: Metadata correction – ISBN [XXXXX]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To whom it may concern,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I am reporting a critical metadata error affecting the following title: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 ISBN: [XXXXX]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 Title: [XXXXX]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 Error: [description]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Correct record verified at: [URL]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I request immediate correction and confirmation.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--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Jeremías Oberschelp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GTC-MA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B. Library letter template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Subject: Metadata correction – Catalogue record ISBN [XXXXX]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Dear Cataloguing Team,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The record for ISBN [XXXXX] in your catalogue contains an error: [description].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The correct metadata can be verified at: [URL]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Please correct this record and confirm once done.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--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Jeremías Oberschelp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  <w:t>GTC-MA</w:t>
      </w:r>
    </w:p>
    <w:p>
      <w:pPr>
        <w:pStyle w:val="Textopreformateado"/>
        <w:bidi w:val="0"/>
        <w:jc w:val="start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</w:rPr>
      </w:pPr>
      <w:r>
        <w:rPr>
          <w:rFonts w:ascii="DejaVu Math TeX Gyre" w:hAnsi="DejaVu Math TeX Gyre"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</w:rPr>
      </w:pPr>
      <w:r>
        <w:rPr>
          <w:rFonts w:ascii="DejaVu Math TeX Gyre" w:hAnsi="DejaVu Math TeX Gyre"/>
        </w:rPr>
        <w:t>C</w:t>
      </w:r>
      <w:r>
        <w:rPr>
          <w:rFonts w:ascii="DejaVu Math TeX Gyre" w:hAnsi="DejaVu Math TeX Gyre"/>
          <w:b/>
          <w:bCs/>
        </w:rPr>
        <w:t>. Useful contacts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Entity            | Contact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------------------|-----------------------------------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British Library   | metadata@bl.uk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World Scientific  | web form (www.worldscientific.com/contactus)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Ingenta (CEO)     | scott.winner@ingenta.com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Ingenta (others)  | info@ingenta.com, sales@ingenta.com, marketing@ingenta.com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Bookwire          | pending investigation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SOCIAL MEDIA &amp; REPOSITORIES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Mail: buenosaliensjeero@hotmail.com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GitHub:     https://github.com/jeremiasoberschelp/gtc-ma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Repository: Public case files, evidence, templates, and updates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SIGNATURE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=============================================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Oberschelp Jeremias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Founder and General Coordinator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Academic Metadata Correction Working Group (GTC-MA)</w:t>
      </w:r>
    </w:p>
    <w:p>
      <w:pPr>
        <w:pStyle w:val="Textopreformateado"/>
        <w:bidi w:val="0"/>
        <w:jc w:val="center"/>
        <w:rPr>
          <w:rFonts w:ascii="DejaVu Math TeX Gyre" w:hAnsi="DejaVu Math TeX Gyre"/>
          <w:b/>
          <w:bCs/>
        </w:rPr>
      </w:pPr>
      <w:r>
        <w:rPr>
          <w:rFonts w:ascii="DejaVu Math TeX Gyre" w:hAnsi="DejaVu Math TeX Gyre"/>
          <w:b/>
          <w:bCs/>
        </w:rPr>
        <w:t>February 13,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DejaVu Math TeX Gyre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5</Pages>
  <Words>700</Words>
  <Characters>5224</Characters>
  <CharactersWithSpaces>6104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2026-02-13T15:19:28Z</dcterms:modified>
  <cp:revision>2</cp:revision>
  <dc:subject/>
  <dc:title/>
</cp:coreProperties>
</file>