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仿真软件需求规格说明书（自动化测试夹具，内容虚构）</w:t>
      </w:r>
    </w:p>
    <w:p>
      <w:pPr>
        <w:pStyle w:val="Heading1"/>
      </w:pPr>
      <w:r>
        <w:t>CSCI能力需求</w:t>
      </w:r>
    </w:p>
    <w:p>
      <w:pPr>
        <w:pStyle w:val="Heading2"/>
      </w:pPr>
      <w:r>
        <w:t>新闻门户/标识符_XWMP</w:t>
      </w:r>
    </w:p>
    <w:p>
      <w:pPr>
        <w:pStyle w:val="Heading3"/>
      </w:pPr>
      <w:r>
        <w:t>个人中心/标识符_GRZX</w:t>
      </w:r>
    </w:p>
    <w:p>
      <w:pPr>
        <w:pStyle w:val="Heading4"/>
      </w:pPr>
      <w:r>
        <w:t>个人信息配置/标识符_GRXXPZ</w:t>
      </w:r>
    </w:p>
    <w:p>
      <w:pPr>
        <w:pStyle w:val="Heading5"/>
      </w:pPr>
      <w:r>
        <w:t>功能描述</w:t>
      </w:r>
    </w:p>
    <w:p>
      <w:r>
        <w:t>用户可以查看和修改姓名、手机号、电子邮箱。姓名不能为空；手机号应为11位数字；电子邮箱应符合邮箱格式。合法修改后保存信息并提示“保存成功”。</w:t>
      </w:r>
    </w:p>
    <w:p>
      <w:pPr>
        <w:pStyle w:val="Heading5"/>
      </w:pPr>
      <w:r>
        <w:t>输入</w:t>
      </w:r>
    </w:p>
    <w:p>
      <w:r>
        <w:t>页面表单字段和用户操作。</w:t>
      </w:r>
    </w:p>
    <w:p>
      <w:pPr>
        <w:pStyle w:val="Heading5"/>
      </w:pPr>
      <w:r>
        <w:t>处理</w:t>
      </w:r>
    </w:p>
    <w:p>
      <w:r>
        <w:t>校验输入；服务端持久化结果需要联机环境确认。</w:t>
      </w:r>
    </w:p>
    <w:p>
      <w:pPr>
        <w:pStyle w:val="Heading5"/>
      </w:pPr>
      <w:r>
        <w:t>输出</w:t>
      </w:r>
    </w:p>
    <w:p>
      <w:r>
        <w:t>页面显示校验状态或操作提示。</w:t>
      </w:r>
    </w:p>
    <w:p>
      <w:pPr>
        <w:pStyle w:val="Heading2"/>
      </w:pPr>
      <w:r>
        <w:t>系统管理/标识符_XTGL</w:t>
      </w:r>
    </w:p>
    <w:p>
      <w:pPr>
        <w:pStyle w:val="Heading3"/>
      </w:pPr>
      <w:r>
        <w:t>用户管理/标识符_YHGL</w:t>
      </w:r>
    </w:p>
    <w:p>
      <w:pPr>
        <w:pStyle w:val="Heading4"/>
      </w:pPr>
      <w:r>
        <w:t>用户查询/标识符_YHCX</w:t>
      </w:r>
    </w:p>
    <w:p>
      <w:pPr>
        <w:pStyle w:val="Heading5"/>
      </w:pPr>
      <w:r>
        <w:t>功能描述</w:t>
      </w:r>
    </w:p>
    <w:p>
      <w:r>
        <w:t>管理员可以按姓名查询用户，并查看查询结果。</w:t>
      </w:r>
    </w:p>
    <w:p>
      <w:pPr>
        <w:pStyle w:val="Heading5"/>
      </w:pPr>
      <w:r>
        <w:t>输入</w:t>
      </w:r>
    </w:p>
    <w:p>
      <w:r>
        <w:t>页面表单字段和用户操作。</w:t>
      </w:r>
    </w:p>
    <w:p>
      <w:pPr>
        <w:pStyle w:val="Heading5"/>
      </w:pPr>
      <w:r>
        <w:t>处理</w:t>
      </w:r>
    </w:p>
    <w:p>
      <w:r>
        <w:t>校验输入；服务端持久化结果需要联机环境确认。</w:t>
      </w:r>
    </w:p>
    <w:p>
      <w:pPr>
        <w:pStyle w:val="Heading5"/>
      </w:pPr>
      <w:r>
        <w:t>输出</w:t>
      </w:r>
    </w:p>
    <w:p>
      <w:r>
        <w:t>页面显示校验状态或操作提示。</w:t>
      </w:r>
    </w:p>
    <w:p>
      <w:pPr>
        <w:pStyle w:val="Heading1"/>
      </w:pPr>
      <w:r>
        <w:t>外部接口</w:t>
      </w:r>
    </w:p>
    <w:p>
      <w:r>
        <w:t>不属于CSCI能力需求抽取范围。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