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5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6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  <w:bookmarkStart w:id="0" w:name="_GoBack"/>
      <w:bookmarkEnd w:id="0"/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</w:t>
      </w:r>
      <w:r w:rsidR="005A0967">
        <w:rPr>
          <w:rFonts w:ascii="Consolas" w:hAnsi="Consolas" w:cs="Consolas"/>
          <w:color w:val="000000"/>
          <w:sz w:val="16"/>
          <w:highlight w:val="white"/>
        </w:rPr>
        <w:t>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Click</w:t>
      </w:r>
      <w:proofErr w:type="spellEnd"/>
      <w:r w:rsidR="0006285C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sum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Tick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r w:rsidR="00B34354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Events.</w:t>
      </w:r>
      <w:r w:rsidR="00E4006E">
        <w:rPr>
          <w:rFonts w:ascii="Consolas" w:hAnsi="Consolas" w:cs="Consolas"/>
          <w:color w:val="000000"/>
          <w:sz w:val="14"/>
          <w:highlight w:val="white"/>
        </w:rPr>
        <w:t>Update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Events.</w:t>
      </w:r>
      <w:r w:rsidRPr="00C553A4">
        <w:rPr>
          <w:rFonts w:ascii="Consolas" w:hAnsi="Consolas" w:cs="Consolas"/>
          <w:color w:val="000000"/>
          <w:sz w:val="14"/>
          <w:highlight w:val="white"/>
        </w:rPr>
        <w:t>Deselect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gameplay)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6285C"/>
    <w:rsid w:val="00075C34"/>
    <w:rsid w:val="000A1831"/>
    <w:rsid w:val="00112D6F"/>
    <w:rsid w:val="00124649"/>
    <w:rsid w:val="00127468"/>
    <w:rsid w:val="00137C56"/>
    <w:rsid w:val="001D3646"/>
    <w:rsid w:val="001E0587"/>
    <w:rsid w:val="001E257E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62CCE"/>
    <w:rsid w:val="0037140B"/>
    <w:rsid w:val="003A11A1"/>
    <w:rsid w:val="003A404A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0967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140F"/>
    <w:rsid w:val="00B34354"/>
    <w:rsid w:val="00B54F54"/>
    <w:rsid w:val="00B5571D"/>
    <w:rsid w:val="00BC0ABA"/>
    <w:rsid w:val="00BD4EF5"/>
    <w:rsid w:val="00BD7AE5"/>
    <w:rsid w:val="00BE5FDB"/>
    <w:rsid w:val="00C01CF9"/>
    <w:rsid w:val="00C24516"/>
    <w:rsid w:val="00C36371"/>
    <w:rsid w:val="00C553A4"/>
    <w:rsid w:val="00CC4BC2"/>
    <w:rsid w:val="00D75E24"/>
    <w:rsid w:val="00DA4B65"/>
    <w:rsid w:val="00DF0943"/>
    <w:rsid w:val="00DF3E41"/>
    <w:rsid w:val="00E071ED"/>
    <w:rsid w:val="00E31CC5"/>
    <w:rsid w:val="00E4006E"/>
    <w:rsid w:val="00E44D40"/>
    <w:rsid w:val="00EE16BD"/>
    <w:rsid w:val="00EE5A68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B761F-6425-4548-BC60-8725F072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yanedds/FPWorks" TargetMode="External"/><Relationship Id="rId5" Type="http://schemas.openxmlformats.org/officeDocument/2006/relationships/hyperlink" Target="http://lambda-the-ultima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Bryan Edds</cp:lastModifiedBy>
  <cp:revision>99</cp:revision>
  <cp:lastPrinted>2015-02-07T13:33:00Z</cp:lastPrinted>
  <dcterms:created xsi:type="dcterms:W3CDTF">2015-01-13T21:05:00Z</dcterms:created>
  <dcterms:modified xsi:type="dcterms:W3CDTF">2015-08-24T01:46:00Z</dcterms:modified>
</cp:coreProperties>
</file>