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definition."</w:t>
        <w:tab/>
        <w:tab/>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category </w:t>
      </w:r>
      <w:r>
        <w:rPr>
          <w:rFonts w:ascii="Courier New" w:hAnsi="Courier New"/>
          <w:b w:val="false"/>
          <w:i w:val="false"/>
          <w:sz w:val="18"/>
          <w:u w:val="none"/>
          <w:lang w:val="en"/>
        </w:rPr>
        <w:t>Algebraic&lt;g&gt;</w:t>
      </w:r>
      <w:r>
        <w:rPr>
          <w:rFonts w:ascii="Courier New" w:hAnsi="Courier New"/>
          <w:b w:val="false"/>
          <w:i w:val="false"/>
          <w:sz w:val="18"/>
          <w:u w:val="none"/>
          <w:lang w:val="en"/>
        </w:rPr>
        <w:t xml:space="preserve">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product&lt;a, b&gt; : </w:t>
      </w:r>
      <w:r>
        <w:rPr>
          <w:rFonts w:ascii="Courier New" w:hAnsi="Courier New"/>
          <w:b w:val="false"/>
          <w:i w:val="false"/>
          <w:sz w:val="18"/>
          <w:u w:val="none"/>
          <w:lang w:val="en"/>
        </w:rPr>
        <w:t>g</w:t>
      </w:r>
      <w:r>
        <w:rPr>
          <w:rFonts w:ascii="Courier New" w:hAnsi="Courier New"/>
          <w:b w:val="false"/>
          <w:i w:val="false"/>
          <w:sz w:val="18"/>
          <w:u w:val="none"/>
          <w:lang w:val="en"/>
        </w:rPr>
        <w:t xml:space="preserve">&lt;a&gt; -&gt; </w:t>
      </w:r>
      <w:r>
        <w:rPr>
          <w:rFonts w:ascii="Courier New" w:hAnsi="Courier New"/>
          <w:b w:val="false"/>
          <w:i w:val="false"/>
          <w:sz w:val="18"/>
          <w:u w:val="none"/>
          <w:lang w:val="en"/>
        </w:rPr>
        <w:t>g</w:t>
      </w:r>
      <w:r>
        <w:rPr>
          <w:rFonts w:ascii="Courier New" w:hAnsi="Courier New"/>
          <w:b w:val="false"/>
          <w:i w:val="false"/>
          <w:sz w:val="18"/>
          <w:u w:val="none"/>
          <w:lang w:val="en"/>
        </w:rPr>
        <w:t xml:space="preserve">&lt;b&gt; -&gt; </w:t>
      </w:r>
      <w:r>
        <w:rPr>
          <w:rFonts w:ascii="Courier New" w:hAnsi="Courier New"/>
          <w:b w:val="false"/>
          <w:i w:val="false"/>
          <w:sz w:val="18"/>
          <w:u w:val="none"/>
          <w:lang w:val="en"/>
        </w:rPr>
        <w:t>g</w:t>
      </w:r>
      <w:r>
        <w:rPr>
          <w:rFonts w:ascii="Courier New" w:hAnsi="Courier New"/>
          <w:b w:val="false"/>
          <w:i w:val="false"/>
          <w:sz w:val="18"/>
          <w:u w:val="none"/>
          <w:lang w:val="en"/>
        </w:rPr>
        <w:t>&lt;(a,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sum&lt;a, b&gt; : </w:t>
      </w:r>
      <w:r>
        <w:rPr>
          <w:rFonts w:ascii="Courier New" w:hAnsi="Courier New"/>
          <w:b w:val="false"/>
          <w:i w:val="false"/>
          <w:sz w:val="18"/>
          <w:u w:val="none"/>
          <w:lang w:val="en"/>
        </w:rPr>
        <w:t>g</w:t>
      </w:r>
      <w:r>
        <w:rPr>
          <w:rFonts w:ascii="Courier New" w:hAnsi="Courier New"/>
          <w:b w:val="false"/>
          <w:i w:val="false"/>
          <w:sz w:val="18"/>
          <w:u w:val="none"/>
          <w:lang w:val="en"/>
        </w:rPr>
        <w:t xml:space="preserve">&lt;a&gt; -&gt; </w:t>
      </w:r>
      <w:r>
        <w:rPr>
          <w:rFonts w:ascii="Courier New" w:hAnsi="Courier New"/>
          <w:b w:val="false"/>
          <w:i w:val="false"/>
          <w:sz w:val="18"/>
          <w:u w:val="none"/>
          <w:lang w:val="en"/>
        </w:rPr>
        <w:t>g</w:t>
      </w:r>
      <w:r>
        <w:rPr>
          <w:rFonts w:ascii="Courier New" w:hAnsi="Courier New"/>
          <w:b w:val="false"/>
          <w:i w:val="false"/>
          <w:sz w:val="18"/>
          <w:u w:val="none"/>
          <w:lang w:val="en"/>
        </w:rPr>
        <w:t xml:space="preserve">&lt;b&gt; -&gt; </w:t>
      </w:r>
      <w:r>
        <w:rPr>
          <w:rFonts w:ascii="Courier New" w:hAnsi="Courier New"/>
          <w:b w:val="false"/>
          <w:i w:val="false"/>
          <w:sz w:val="18"/>
          <w:u w:val="none"/>
          <w:lang w:val="en"/>
        </w:rPr>
        <w:t>g</w:t>
      </w:r>
      <w:r>
        <w:rPr>
          <w:rFonts w:ascii="Courier New" w:hAnsi="Courier New"/>
          <w:b w:val="false"/>
          <w:i w:val="false"/>
          <w:sz w:val="18"/>
          <w:u w:val="none"/>
          <w:lang w:val="en"/>
        </w:rPr>
        <w:t>&lt;Either&lt;a,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 xml:space="preserve">Nu Script Semantic Design </w:t>
      </w:r>
      <w:r>
        <w:rPr>
          <w:rFonts w:ascii="Courier New" w:hAnsi="Courier New"/>
          <w:b w:val="false"/>
          <w:i w:val="false"/>
          <w:sz w:val="18"/>
          <w:u w:val="single"/>
          <w:lang w:val="en"/>
        </w:rPr>
        <w:t xml:space="preserve">(script code is in </w:t>
      </w:r>
      <w:r>
        <w:rPr>
          <w:rFonts w:ascii="Courier New" w:hAnsi="Courier New"/>
          <w:b/>
          <w:bCs/>
          <w:i w:val="false"/>
          <w:sz w:val="18"/>
          <w:u w:val="single"/>
          <w:lang w:val="en"/>
        </w:rPr>
        <w:t>bold</w:t>
      </w:r>
      <w:r>
        <w:rPr>
          <w:rFonts w:ascii="Courier New" w:hAnsi="Courier New"/>
          <w:b w:val="false"/>
          <w:i w:val="false"/>
          <w:sz w:val="18"/>
          <w:u w:val="singl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append = </w:t>
      </w:r>
      <w:r>
        <w:rPr>
          <w:rFonts w:ascii="Courier New" w:hAnsi="Courier New"/>
          <w:b/>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r>
        <w:rPr>
          <w:rFonts w:ascii="Courier New" w:hAnsi="Courier New"/>
          <w:b/>
          <w:bCs/>
          <w:i w:val="false"/>
          <w:sz w:val="18"/>
          <w:u w:val="none"/>
          <w:lang w:val="en"/>
        </w:rPr>
        <w:t>toEmpty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pure = </w:t>
      </w:r>
      <w:r>
        <w:rPr>
          <w:rFonts w:ascii="Courier New" w:hAnsi="Courier New"/>
          <w:b/>
          <w:bCs/>
          <w:i w:val="false"/>
          <w:sz w:val="18"/>
          <w:u w:val="none"/>
          <w:lang w:val="en"/>
        </w:rPr>
        <w:t>pure</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map = </w:t>
      </w:r>
      <w:r>
        <w:rPr>
          <w:rFonts w:ascii="Courier New" w:hAnsi="Courier New"/>
          <w:b/>
          <w:bCs/>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apply = </w:t>
      </w:r>
      <w:r>
        <w:rPr>
          <w:rFonts w:ascii="Courier New" w:hAnsi="Courier New"/>
          <w:b/>
          <w:bCs/>
          <w:i w:val="false"/>
          <w:sz w:val="18"/>
          <w:u w:val="none"/>
          <w:lang w:val="en"/>
        </w:rPr>
        <w:t>app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bind = </w:t>
      </w:r>
      <w:r>
        <w:rPr>
          <w:rFonts w:ascii="Courier New" w:hAnsi="Courier New"/>
          <w:b/>
          <w:bCs/>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fold = </w:t>
      </w:r>
      <w:r>
        <w:rPr>
          <w:rFonts w:ascii="Courier New" w:hAnsi="Courier New"/>
          <w:b/>
          <w:bCs/>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TODO: define </w:t>
      </w:r>
      <w:r>
        <w:rPr>
          <w:rFonts w:ascii="Courier New" w:hAnsi="Courier New"/>
          <w:b/>
          <w:bCs/>
          <w:i w:val="false"/>
          <w:sz w:val="18"/>
          <w:u w:val="none"/>
          <w:lang w:val="en"/>
        </w:rPr>
        <w:t>product</w:t>
      </w:r>
      <w:r>
        <w:rPr>
          <w:rFonts w:ascii="Courier New" w:hAnsi="Courier New"/>
          <w:b w:val="false"/>
          <w:i w:val="false"/>
          <w:sz w:val="18"/>
          <w:u w:val="none"/>
          <w:lang w:val="en"/>
        </w:rPr>
        <w:t xml:space="preserve"> and </w:t>
      </w:r>
      <w:r>
        <w:rPr>
          <w:rFonts w:ascii="Courier New" w:hAnsi="Courier New"/>
          <w:b/>
          <w:bCs/>
          <w:i w:val="false"/>
          <w:sz w:val="18"/>
          <w:u w:val="none"/>
          <w:lang w:val="en"/>
        </w:rPr>
        <w:t>sum</w:t>
      </w:r>
      <w:r>
        <w:rPr>
          <w:rFonts w:ascii="Courier New" w:hAnsi="Courier New"/>
          <w:b w:val="false"/>
          <w:bCs w:val="false"/>
          <w:i w:val="false"/>
          <w:sz w:val="18"/>
          <w:u w:val="none"/>
          <w:lang w:val="en"/>
        </w:rPr>
        <w:t xml:space="preserve"> for AMSL so we can make a witness for </w:t>
      </w:r>
      <w:r>
        <w:rPr>
          <w:rFonts w:ascii="Courier New" w:hAnsi="Courier New"/>
          <w:b w:val="false"/>
          <w:bCs w:val="false"/>
          <w:i w:val="false"/>
          <w:sz w:val="18"/>
          <w:u w:val="none"/>
          <w:lang w:val="en"/>
        </w:rPr>
        <w:t>Algebraic</w:t>
      </w:r>
      <w:r>
        <w:rPr>
          <w:rFonts w:ascii="Courier New" w:hAnsi="Courier New"/>
          <w:b w:val="false"/>
          <w:bCs w:val="false"/>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pPr>
      <w:r>
        <w:rPr>
          <w:rFonts w:ascii="Courier New" w:hAnsi="Courier New"/>
          <w:b w:val="false"/>
          <w:i w:val="false"/>
          <w:sz w:val="18"/>
          <w:u w:val="none"/>
          <w:lang w:val="en"/>
        </w:rPr>
        <w:t>Address = Axiom "Indexes a global simulant or event."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Property -&gt; Relation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Property -&gt; Relation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 xml:space="preserve">getAsStream&lt;a&gt; : Property -&gt; Relation -&gt; Stream&lt;a&gt; = </w:t>
      </w:r>
      <w:r>
        <w:rPr>
          <w:rFonts w:ascii="Courier New" w:hAnsi="Courier New"/>
          <w:b/>
          <w:bCs/>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 xml:space="preserve">setAsStream&lt;a&gt; : </w:t>
      </w:r>
      <w:r>
        <w:rPr>
          <w:rFonts w:ascii="Courier New" w:hAnsi="Courier New"/>
          <w:b w:val="false"/>
          <w:i w:val="false"/>
          <w:color w:val="000000"/>
          <w:sz w:val="18"/>
          <w:u w:val="none"/>
          <w:lang w:val="en"/>
        </w:rPr>
        <w:t>P</w:t>
      </w:r>
      <w:r>
        <w:rPr>
          <w:rFonts w:ascii="Courier New" w:hAnsi="Courier New"/>
          <w:b w:val="false"/>
          <w:i w:val="false"/>
          <w:color w:val="000000"/>
          <w:sz w:val="18"/>
          <w:u w:val="none"/>
          <w:lang w:val="en"/>
        </w:rPr>
        <w:t>roperty -</w:t>
      </w:r>
      <w:r>
        <w:rPr>
          <w:rFonts w:ascii="Courier New" w:hAnsi="Courier New"/>
          <w:b w:val="false"/>
          <w:i w:val="false"/>
          <w:color w:val="000000"/>
          <w:sz w:val="18"/>
          <w:u w:val="none"/>
          <w:lang w:val="en"/>
        </w:rPr>
        <w:t>&gt; R</w:t>
      </w:r>
      <w:r>
        <w:rPr>
          <w:rFonts w:ascii="Courier New" w:hAnsi="Courier New"/>
          <w:b w:val="false"/>
          <w:i w:val="false"/>
          <w:color w:val="000000"/>
          <w:sz w:val="18"/>
          <w:u w:val="none"/>
          <w:lang w:val="en"/>
        </w:rPr>
        <w:t>elation -</w:t>
      </w:r>
      <w:r>
        <w:rPr>
          <w:rFonts w:ascii="Courier New" w:hAnsi="Courier New"/>
          <w:b w:val="false"/>
          <w:i w:val="false"/>
          <w:color w:val="000000"/>
          <w:sz w:val="18"/>
          <w:u w:val="none"/>
          <w:lang w:val="en"/>
        </w:rPr>
        <w:t>&gt; S</w:t>
      </w:r>
      <w:r>
        <w:rPr>
          <w:rFonts w:ascii="Courier New" w:hAnsi="Courier New"/>
          <w:b w:val="false"/>
          <w:i w:val="false"/>
          <w:color w:val="000000"/>
          <w:sz w:val="18"/>
          <w:u w:val="none"/>
          <w:lang w:val="en"/>
        </w:rPr>
        <w:t>tream</w:t>
      </w:r>
      <w:r>
        <w:rPr>
          <w:rFonts w:ascii="Courier New" w:hAnsi="Courier New"/>
          <w:b w:val="false"/>
          <w:i w:val="false"/>
          <w:color w:val="000000"/>
          <w:sz w:val="18"/>
          <w:u w:val="none"/>
          <w:lang w:val="en"/>
        </w:rPr>
        <w:t>&lt;a&gt;</w:t>
      </w:r>
      <w:r>
        <w:rPr>
          <w:rFonts w:ascii="Courier New" w:hAnsi="Courier New"/>
          <w:b w:val="false"/>
          <w:i w:val="false"/>
          <w:color w:val="000000"/>
          <w:sz w:val="18"/>
          <w:u w:val="none"/>
          <w:lang w:val="en"/>
        </w:rPr>
        <w:t xml:space="preserve"> = </w:t>
      </w:r>
      <w:r>
        <w:rPr>
          <w:rFonts w:ascii="Courier New" w:hAnsi="Courier New"/>
          <w:b/>
          <w:bCs/>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w:t>
      </w:r>
      <w:r>
        <w:rPr>
          <w:rFonts w:ascii="Courier New" w:hAnsi="Courier New"/>
          <w:b w:val="false"/>
          <w:i w:val="false"/>
          <w:color w:val="000000"/>
          <w:sz w:val="18"/>
          <w:u w:val="none"/>
          <w:lang w:val="en"/>
        </w:rPr>
        <w:t xml:space="preserve">Stream&lt;a&gt; : Address -&gt; Stream&lt;a&gt; = </w:t>
      </w:r>
      <w:r>
        <w:rPr>
          <w:rFonts w:ascii="Courier New" w:hAnsi="Courier New"/>
          <w:b/>
          <w:bCs/>
          <w:i w:val="false"/>
          <w:color w:val="000000"/>
          <w:sz w:val="18"/>
          <w:u w:val="none"/>
          <w:lang w:val="en"/>
        </w:rPr>
        <w:t>makeStream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color w:val="000000"/>
          <w:sz w:val="18"/>
          <w:u w:val="none"/>
          <w:lang w:val="en"/>
        </w:rPr>
        <w:t xml:space="preserve">mapStream&lt;a, b&gt; </w:t>
      </w:r>
      <w:r>
        <w:rPr>
          <w:rFonts w:ascii="Courier New" w:hAnsi="Courier New"/>
          <w:b w:val="false"/>
          <w:i w:val="false"/>
          <w:color w:val="000000"/>
          <w:sz w:val="18"/>
          <w:u w:val="none"/>
          <w:lang w:val="en"/>
        </w:rPr>
        <w:t>(a -&gt; b)</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&gt; S</w:t>
      </w:r>
      <w:r>
        <w:rPr>
          <w:rFonts w:ascii="Courier New" w:hAnsi="Courier New"/>
          <w:b w:val="false"/>
          <w:i w:val="false"/>
          <w:color w:val="000000"/>
          <w:sz w:val="18"/>
          <w:u w:val="none"/>
          <w:lang w:val="en"/>
        </w:rPr>
        <w:t>tream</w:t>
      </w:r>
      <w:r>
        <w:rPr>
          <w:rFonts w:ascii="Courier New" w:hAnsi="Courier New"/>
          <w:b w:val="false"/>
          <w:i w:val="false"/>
          <w:color w:val="000000"/>
          <w:sz w:val="18"/>
          <w:u w:val="none"/>
          <w:lang w:val="en"/>
        </w:rPr>
        <w:t>&lt;a&gt;</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&gt; S</w:t>
      </w:r>
      <w:r>
        <w:rPr>
          <w:rFonts w:ascii="Courier New" w:hAnsi="Courier New"/>
          <w:b w:val="false"/>
          <w:i w:val="false"/>
          <w:color w:val="000000"/>
          <w:sz w:val="18"/>
          <w:u w:val="none"/>
          <w:lang w:val="en"/>
        </w:rPr>
        <w:t>tream</w:t>
      </w:r>
      <w:r>
        <w:rPr>
          <w:rFonts w:ascii="Courier New" w:hAnsi="Courier New"/>
          <w:b w:val="false"/>
          <w:i w:val="false"/>
          <w:color w:val="000000"/>
          <w:sz w:val="18"/>
          <w:u w:val="none"/>
          <w:lang w:val="en"/>
        </w:rPr>
        <w:t xml:space="preserve">&lt;b&gt; </w:t>
      </w:r>
      <w:r>
        <w:rPr>
          <w:rFonts w:ascii="Courier New" w:hAnsi="Courier New"/>
          <w:b w:val="false"/>
          <w:i w:val="false"/>
          <w:color w:val="000000"/>
          <w:sz w:val="18"/>
          <w:u w:val="none"/>
          <w:lang w:val="en"/>
        </w:rPr>
        <w:t xml:space="preserve">= </w:t>
      </w:r>
      <w:r>
        <w:rPr>
          <w:rFonts w:ascii="Courier New" w:hAnsi="Courier New"/>
          <w:b/>
          <w:bCs/>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 xml:space="preserve">foldStream&lt;a, b&gt; : (b -&gt; a -&gt; b) -&gt; b -&gt; Stream&lt;a&gt; -&gt; b = </w:t>
      </w:r>
      <w:r>
        <w:rPr>
          <w:rFonts w:ascii="Courier New" w:hAnsi="Courier New"/>
          <w:b/>
          <w:bCs/>
          <w:i w:val="false"/>
          <w:color w:val="000000"/>
          <w:sz w:val="18"/>
          <w:u w:val="none"/>
          <w:lang w:val="en"/>
        </w:rPr>
        <w:t>fold</w:t>
      </w:r>
    </w:p>
    <w:p>
      <w:pPr>
        <w:pStyle w:val="Normal"/>
        <w:spacing w:lineRule="auto" w:line="276" w:before="0" w:after="0"/>
        <w:rPr/>
      </w:pPr>
      <w:r>
        <w:rPr>
          <w:rFonts w:ascii="Courier New" w:hAnsi="Courier New"/>
          <w:b w:val="false"/>
          <w:i w:val="false"/>
          <w:sz w:val="18"/>
          <w:u w:val="none"/>
          <w:lang w:val="en"/>
        </w:rPr>
        <w:t xml:space="preserve">productStream&lt;a, b&gt; : Stream&lt;a&gt; -&gt; Stream&lt;b&gt; -&gt; Stream&lt;(a, b)&gt; = </w:t>
      </w:r>
      <w:r>
        <w:rPr>
          <w:rFonts w:ascii="Courier New" w:hAnsi="Courier New"/>
          <w:b/>
          <w:bCs/>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 xml:space="preserve">sumStream&lt;a, b&gt; : Stream&lt;a&gt; -&gt; Stream&lt;b&gt; -&gt; Stream&lt;Either&lt;a, b&gt;&gt; = </w:t>
      </w:r>
      <w:r>
        <w:rPr>
          <w:rFonts w:ascii="Courier New" w:hAnsi="Courier New"/>
          <w:b/>
          <w:bCs/>
          <w:i w:val="false"/>
          <w:color w:val="000000"/>
          <w:sz w:val="18"/>
          <w:u w:val="none"/>
          <w:lang w:val="en"/>
        </w:rPr>
        <w:t>sum</w:t>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 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 Axiom "Create a potentially asynchronous operation."</w:t>
      </w:r>
    </w:p>
    <w:p>
      <w:pPr>
        <w:pStyle w:val="Normal"/>
        <w:spacing w:lineRule="auto" w:line="276" w:before="0" w:after="0"/>
        <w:rPr/>
      </w:pPr>
      <w:r>
        <w:rPr>
          <w:rFonts w:ascii="Courier New" w:hAnsi="Courier New"/>
          <w:b w:val="false"/>
          <w:i w:val="false"/>
          <w:color w:val="000000"/>
          <w:sz w:val="18"/>
          <w:u w:val="none"/>
          <w:lang w:val="en"/>
        </w:rPr>
        <w:t>vsyncReturn&lt;a&gt; (a : a) : Vsync&lt;a&gt; = Axiom "Create a potentially asynchronous operation that return the result 'a'."</w:t>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return = vsyncReturn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givern GIT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p>
    <w:p>
      <w:pPr>
        <w:pStyle w:val="Normal"/>
        <w:spacing w:lineRule="auto" w:line="276" w:before="0" w:after="0"/>
        <w:rPr/>
      </w:pPr>
      <w:r>
        <w:rPr/>
      </w:r>
    </w:p>
    <w:sectPr>
      <w:type w:val="nextPage"/>
      <w:pgSz w:orient="landscape" w:w="15840" w:h="12240"/>
      <w:pgMar w:left="1080" w:right="1080" w:header="0" w:top="1080" w:footer="0" w:bottom="10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1421</TotalTime>
  <Application>LibreOffice/6.0.4.2$Windows_X86_64 LibreOffice_project/9b0d9b32d5dcda91d2f1a96dc04c645c450872bf</Application>
  <Pages>7</Pages>
  <Words>1261</Words>
  <Characters>5670</Characters>
  <CharactersWithSpaces>7087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2018-09-03T07:08:30Z</dcterms:modified>
  <cp:revision>326</cp:revision>
  <dc:subject/>
  <dc:title/>
</cp:coreProperties>
</file>