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in terms of ADELA.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effectfulness 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string literal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>Prod = (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 xml:space="preserve">Sum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Alias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fn (a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200"/>
        <w:rPr>
          <w:u w:val="single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MetaFunctions (a replacement for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micro-services – unrelated to Nu)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Symbol = "Symbolic type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as defined by Prime.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Async&lt;a&gt; = "Asynchronous result monad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where result is 'a'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as defined by F#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MetaName = String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MetaAddress = (Port, IPAddress, MetaName)</w:t>
      </w:r>
    </w:p>
    <w:p>
      <w:pPr>
        <w:pStyle w:val="Normal"/>
        <w:spacing w:lineRule="auto" w:line="276" w:before="0" w:after="200"/>
        <w:rPr/>
      </w:pPr>
      <w:bookmarkStart w:id="0" w:name="__DdeLink__194_1908414776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</w:t>
      </w:r>
      <w:bookmarkEnd w:id="0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-&gt; Async&lt;Symbol&gt;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MetaFn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MetaAddress |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-&gt; Async&lt;Symbol&gt;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LibreOffice/6.0.4.2$Windows_X86_64 LibreOffice_project/9b0d9b32d5dcda91d2f1a96dc04c645c450872bf</Application>
  <Pages>3</Pages>
  <Words>487</Words>
  <Characters>2384</Characters>
  <CharactersWithSpaces>2872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2018-08-11T12:37:57Z</dcterms:modified>
  <cp:revision>16</cp:revision>
  <dc:subject/>
  <dc:title/>
</cp:coreProperties>
</file>