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w:t>
      </w:r>
      <w:r>
        <w:rPr>
          <w:rFonts w:ascii="Courier New" w:hAnsi="Courier New"/>
          <w:sz w:val="18"/>
          <w:lang w:val="en"/>
        </w:rPr>
        <w:t>ir program’s</w:t>
      </w:r>
      <w:r>
        <w:rPr>
          <w:rFonts w:ascii="Courier New" w:hAnsi="Courier New"/>
          <w:sz w:val="18"/>
          <w:lang w:val="en"/>
        </w:rPr>
        <w:t xml:space="preserve"> abstract structure </w:t>
      </w:r>
      <w:r>
        <w:rPr>
          <w:rFonts w:ascii="Courier New" w:hAnsi="Courier New"/>
          <w:sz w:val="18"/>
          <w:lang w:val="en"/>
        </w:rPr>
        <w:t>separate from and - as much as possible, prior to! - its implementation.</w:t>
      </w:r>
      <w:r>
        <w:rPr>
          <w:rFonts w:ascii="Courier New" w:hAnsi="Courier New"/>
          <w:sz w:val="18"/>
          <w:lang w:val="en"/>
        </w:rPr>
        <w:t xml:space="preserve"> I believe that getting a program’s abstract structure correct is the most important task of program design </w:t>
      </w:r>
      <w:r>
        <w:rPr>
          <w:rFonts w:ascii="Courier New" w:hAnsi="Courier New"/>
          <w:sz w:val="18"/>
          <w:lang w:val="en"/>
        </w:rPr>
        <w:t>and that doing so up front yields maximal benefits.</w:t>
      </w:r>
      <w:r>
        <w:rPr>
          <w:rFonts w:ascii="Courier New" w:hAnsi="Courier New"/>
          <w:sz w:val="18"/>
          <w:lang w:val="en"/>
        </w:rPr>
        <w:t xml:space="preserve"> Also important is encod</w:t>
      </w:r>
      <w:r>
        <w:rPr>
          <w:rFonts w:ascii="Courier New" w:hAnsi="Courier New"/>
          <w:sz w:val="18"/>
          <w:lang w:val="en"/>
        </w:rPr>
        <w:t>ing</w:t>
      </w:r>
      <w:r>
        <w:rPr>
          <w:rFonts w:ascii="Courier New" w:hAnsi="Courier New"/>
          <w:sz w:val="18"/>
          <w:lang w:val="en"/>
        </w:rPr>
        <w:t xml:space="preserve"> the program’s abstract structure in a way that is not limited by the implementation language – </w:t>
      </w:r>
      <w:r>
        <w:rPr>
          <w:rFonts w:ascii="Courier New" w:hAnsi="Courier New"/>
          <w:sz w:val="18"/>
          <w:lang w:val="en"/>
        </w:rPr>
        <w:t>in particular by its type system, such as with dynamic, weak, or ad-hoc type systems (see lisp, python, or any object-oriented language)</w:t>
      </w:r>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second intended capability of Sedela is to allow program designers to specify their program’s intended semantics in </w:t>
      </w:r>
      <w:r>
        <w:rPr>
          <w:rFonts w:ascii="Courier New" w:hAnsi="Courier New"/>
          <w:sz w:val="18"/>
          <w:lang w:val="en"/>
        </w:rPr>
        <w:t xml:space="preserve">one of two ways – in </w:t>
      </w:r>
      <w:r>
        <w:rPr>
          <w:rFonts w:ascii="Courier New" w:hAnsi="Courier New"/>
          <w:sz w:val="18"/>
          <w:lang w:val="en"/>
        </w:rPr>
        <w:t xml:space="preserve">a formal, denotative </w:t>
      </w:r>
      <w:r>
        <w:rPr>
          <w:rFonts w:ascii="Courier New" w:hAnsi="Courier New"/>
          <w:sz w:val="18"/>
          <w:lang w:val="en"/>
        </w:rPr>
        <w:t xml:space="preserve">way (terms defined entirely in terms of other terms), </w:t>
      </w:r>
      <w:r>
        <w:rPr>
          <w:rFonts w:ascii="Courier New" w:hAnsi="Courier New"/>
          <w:sz w:val="18"/>
          <w:lang w:val="en"/>
        </w:rPr>
        <w:t xml:space="preserve">or </w:t>
      </w:r>
      <w:r>
        <w:rPr>
          <w:rFonts w:ascii="Courier New" w:hAnsi="Courier New"/>
          <w:sz w:val="18"/>
          <w:lang w:val="en"/>
        </w:rPr>
        <w:t xml:space="preserve">in an </w:t>
      </w:r>
      <w:r>
        <w:rPr>
          <w:rFonts w:ascii="Courier New" w:hAnsi="Courier New"/>
          <w:sz w:val="18"/>
          <w:lang w:val="en"/>
        </w:rPr>
        <w:t xml:space="preserve">informal, textual way </w:t>
      </w:r>
      <w:r>
        <w:rPr>
          <w:rFonts w:ascii="Courier New" w:hAnsi="Courier New"/>
          <w:sz w:val="18"/>
          <w:lang w:val="en"/>
        </w:rPr>
        <w:t>(terms defined with just descriptive text)</w:t>
      </w:r>
      <w:r>
        <w:rPr>
          <w:rFonts w:ascii="Courier New" w:hAnsi="Courier New"/>
          <w:sz w:val="18"/>
          <w:lang w:val="en"/>
        </w:rPr>
        <w:t xml:space="preserve">. </w:t>
      </w:r>
      <w:r>
        <w:rPr>
          <w:rFonts w:ascii="Courier New" w:hAnsi="Courier New"/>
          <w:sz w:val="18"/>
          <w:lang w:val="en"/>
        </w:rPr>
        <w:t xml:space="preserve">Where a denotative approach is required, </w:t>
      </w:r>
      <w:r>
        <w:rPr>
          <w:rFonts w:ascii="Courier New" w:hAnsi="Courier New"/>
          <w:sz w:val="18"/>
          <w:lang w:val="en"/>
        </w:rPr>
        <w:t>Sedel</w:t>
      </w:r>
      <w:r>
        <w:rPr>
          <w:rFonts w:ascii="Courier New" w:hAnsi="Courier New"/>
          <w:sz w:val="18"/>
          <w:lang w:val="en"/>
        </w:rPr>
        <w:t>a</w:t>
      </w:r>
      <w:r>
        <w:rPr>
          <w:rFonts w:ascii="Courier New" w:hAnsi="Courier New"/>
          <w:sz w:val="18"/>
          <w:lang w:val="en"/>
        </w:rPr>
        <w:t xml:space="preserve"> allows designers to encode their program’s abstract </w:t>
      </w:r>
      <w:r>
        <w:rPr>
          <w:rFonts w:ascii="Courier New" w:hAnsi="Courier New"/>
          <w:sz w:val="18"/>
          <w:lang w:val="en"/>
        </w:rPr>
        <w:t>terms</w:t>
      </w:r>
      <w:r>
        <w:rPr>
          <w:rFonts w:ascii="Courier New" w:hAnsi="Courier New"/>
          <w:sz w:val="18"/>
          <w:lang w:val="en"/>
        </w:rPr>
        <w:t xml:space="preserve"> </w:t>
      </w:r>
      <w:r>
        <w:rPr>
          <w:rFonts w:ascii="Courier New" w:hAnsi="Courier New"/>
          <w:sz w:val="18"/>
          <w:lang w:val="en"/>
        </w:rPr>
        <w:t xml:space="preserve">in terms of algebraic data types and </w:t>
      </w:r>
      <w:r>
        <w:rPr>
          <w:rFonts w:ascii="Courier New" w:hAnsi="Courier New"/>
          <w:sz w:val="18"/>
          <w:lang w:val="en"/>
        </w:rPr>
        <w:t xml:space="preserve">a typed lambda calculus. </w:t>
      </w:r>
      <w:r>
        <w:rPr>
          <w:rFonts w:ascii="Courier New" w:hAnsi="Courier New"/>
          <w:sz w:val="18"/>
          <w:lang w:val="en"/>
        </w:rPr>
        <w:t>Where a more informal approach is permitted</w:t>
      </w:r>
      <w:r>
        <w:rPr>
          <w:rFonts w:ascii="Courier New" w:hAnsi="Courier New"/>
          <w:sz w:val="18"/>
          <w:lang w:val="en"/>
        </w:rPr>
        <w:t xml:space="preserve">, Sedela offers designers </w:t>
      </w:r>
      <w:r>
        <w:rPr>
          <w:rFonts w:ascii="Courier New" w:hAnsi="Courier New"/>
          <w:sz w:val="18"/>
          <w:lang w:val="en"/>
        </w:rPr>
        <w:t xml:space="preserve">the ability to define their terms with </w:t>
      </w:r>
      <w:r>
        <w:rPr>
          <w:rFonts w:ascii="Courier New" w:hAnsi="Courier New"/>
          <w:sz w:val="18"/>
          <w:lang w:val="en"/>
        </w:rPr>
        <w:t>‘axioms’. Th</w:t>
      </w:r>
      <w:r>
        <w:rPr>
          <w:rFonts w:ascii="Courier New" w:hAnsi="Courier New"/>
          <w:sz w:val="18"/>
          <w:lang w:val="en"/>
        </w:rPr>
        <w:t>e</w:t>
      </w:r>
      <w:r>
        <w:rPr>
          <w:rFonts w:ascii="Courier New" w:hAnsi="Courier New"/>
          <w:sz w:val="18"/>
          <w:lang w:val="en"/>
        </w:rPr>
        <w:t xml:space="preserve"> less formal </w:t>
      </w:r>
      <w:r>
        <w:rPr>
          <w:rFonts w:ascii="Courier New" w:hAnsi="Courier New"/>
          <w:sz w:val="18"/>
          <w:lang w:val="en"/>
        </w:rPr>
        <w:t>definitions enabled by ‘axioms’</w:t>
      </w:r>
      <w:r>
        <w:rPr>
          <w:rFonts w:ascii="Courier New" w:hAnsi="Courier New"/>
          <w:sz w:val="18"/>
          <w:lang w:val="en"/>
        </w:rPr>
        <w:t xml:space="preserve"> makes Sedela a usable tool for describing systems whose denotations </w:t>
      </w:r>
      <w:r>
        <w:rPr>
          <w:rFonts w:ascii="Courier New" w:hAnsi="Courier New"/>
          <w:sz w:val="18"/>
          <w:lang w:val="en"/>
        </w:rPr>
        <w:t>may be</w:t>
      </w:r>
      <w:r>
        <w:rPr>
          <w:rFonts w:ascii="Courier New" w:hAnsi="Courier New"/>
          <w:sz w:val="18"/>
          <w:lang w:val="en"/>
        </w:rPr>
        <w:t xml:space="preserve"> too complex to warrant formal specification, in particular, </w:t>
      </w:r>
      <w:r>
        <w:rPr>
          <w:rFonts w:ascii="Courier New" w:hAnsi="Courier New"/>
          <w:sz w:val="18"/>
          <w:lang w:val="en"/>
        </w:rPr>
        <w:t xml:space="preserve">for </w:t>
      </w:r>
      <w:r>
        <w:rPr>
          <w:rFonts w:ascii="Courier New" w:hAnsi="Courier New"/>
          <w:sz w:val="18"/>
          <w:lang w:val="en"/>
        </w:rPr>
        <w:t>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2) Denotational design restricts its domain of use to programs / subprograms whose semantics can be specified denotatively (EG, formally and in full). This is an advantage for those working on greenfield projects and projects that </w:t>
      </w:r>
      <w:r>
        <w:rPr>
          <w:rFonts w:ascii="Courier New" w:hAnsi="Courier New"/>
          <w:sz w:val="18"/>
          <w:lang w:val="en"/>
        </w:rPr>
        <w:t xml:space="preserve">otherwise </w:t>
      </w:r>
      <w:r>
        <w:rPr>
          <w:rFonts w:ascii="Courier New" w:hAnsi="Courier New"/>
          <w:sz w:val="18"/>
          <w:lang w:val="en"/>
        </w:rPr>
        <w:t>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3) Semantic design provides a ‘knob’ for the level of semantic detail at which designers would like to specify their </w:t>
      </w:r>
      <w:r>
        <w:rPr>
          <w:rFonts w:ascii="Courier New" w:hAnsi="Courier New"/>
          <w:sz w:val="18"/>
          <w:lang w:val="en"/>
        </w:rPr>
        <w:t>programs</w:t>
      </w:r>
      <w:r>
        <w:rPr>
          <w:rFonts w:ascii="Courier New" w:hAnsi="Courier New"/>
          <w:sz w:val="18"/>
          <w:lang w:val="en"/>
        </w:rPr>
        <w:t xml:space="preserve">. It has been found to be useful to increase the level of semantic detail for designs by replacing some informal definitions with denotative ones </w:t>
      </w:r>
      <w:r>
        <w:rPr>
          <w:rFonts w:ascii="Courier New" w:hAnsi="Courier New"/>
          <w:sz w:val="18"/>
          <w:lang w:val="en"/>
        </w:rPr>
        <w:t>while leaving less detailed other definitions for brevity</w:t>
      </w:r>
      <w:r>
        <w:rPr>
          <w:rFonts w:ascii="Courier New" w:hAnsi="Courier New"/>
          <w:sz w:val="18"/>
          <w:lang w:val="en"/>
        </w:rPr>
        <w:t xml:space="preserve">. Semantic design may </w:t>
      </w:r>
      <w:r>
        <w:rPr>
          <w:rFonts w:ascii="Courier New" w:hAnsi="Courier New"/>
          <w:sz w:val="18"/>
          <w:lang w:val="en"/>
        </w:rPr>
        <w:t>end up</w:t>
      </w:r>
      <w:r>
        <w:rPr>
          <w:rFonts w:ascii="Courier New" w:hAnsi="Courier New"/>
          <w:sz w:val="18"/>
          <w:lang w:val="en"/>
        </w:rPr>
        <w:t xml:space="preserve"> be</w:t>
      </w:r>
      <w:r>
        <w:rPr>
          <w:rFonts w:ascii="Courier New" w:hAnsi="Courier New"/>
          <w:sz w:val="18"/>
          <w:lang w:val="en"/>
        </w:rPr>
        <w:t>ing</w:t>
      </w:r>
      <w:r>
        <w:rPr>
          <w:rFonts w:ascii="Courier New" w:hAnsi="Courier New"/>
          <w:sz w:val="18"/>
          <w:lang w:val="en"/>
        </w:rPr>
        <w:t xml:space="preserve"> a useful bridge from a low-detail</w:t>
      </w:r>
      <w:r>
        <w:rPr>
          <w:rFonts w:ascii="Courier New" w:hAnsi="Courier New"/>
          <w:sz w:val="18"/>
          <w:lang w:val="en"/>
        </w:rPr>
        <w:t>m ‘on-napkis’</w:t>
      </w:r>
      <w:r>
        <w:rPr>
          <w:rFonts w:ascii="Courier New" w:hAnsi="Courier New"/>
          <w:sz w:val="18"/>
          <w:lang w:val="en"/>
        </w:rPr>
        <w:t xml:space="preserve"> design to </w:t>
      </w:r>
      <w:r>
        <w:rPr>
          <w:rFonts w:ascii="Courier New" w:hAnsi="Courier New"/>
          <w:sz w:val="18"/>
          <w:lang w:val="en"/>
        </w:rPr>
        <w:t>one</w:t>
      </w:r>
      <w:r>
        <w:rPr>
          <w:rFonts w:ascii="Courier New" w:hAnsi="Courier New"/>
          <w:sz w:val="18"/>
          <w:lang w:val="en"/>
        </w:rPr>
        <w:t xml:space="preserve"> that can (and should be) specified denotatively </w:t>
      </w:r>
      <w:r>
        <w:rPr>
          <w:rFonts w:ascii="Courier New" w:hAnsi="Courier New"/>
          <w:sz w:val="18"/>
          <w:lang w:val="en"/>
        </w:rPr>
        <w:t>with denotational design</w:t>
      </w:r>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While denotative design seems ideal, I invented semantic design for either one of two reasons – </w:t>
      </w:r>
      <w:r>
        <w:rPr>
          <w:rFonts w:ascii="Courier New" w:hAnsi="Courier New"/>
          <w:sz w:val="18"/>
          <w:lang w:val="en"/>
        </w:rPr>
        <w:t>1</w:t>
      </w:r>
      <w:r>
        <w:rPr>
          <w:rFonts w:ascii="Courier New" w:hAnsi="Courier New"/>
          <w:sz w:val="18"/>
          <w:lang w:val="en"/>
        </w:rPr>
        <w:t xml:space="preserve">) I could not apply denotational design to my current needs due to its limited domain of application, or </w:t>
      </w:r>
      <w:r>
        <w:rPr>
          <w:rFonts w:ascii="Courier New" w:hAnsi="Courier New"/>
          <w:sz w:val="18"/>
          <w:lang w:val="en"/>
        </w:rPr>
        <w:t>2</w:t>
      </w:r>
      <w:r>
        <w:rPr>
          <w:rFonts w:ascii="Courier New" w:hAnsi="Courier New"/>
          <w:sz w:val="18"/>
          <w:lang w:val="en"/>
        </w:rPr>
        <w:t>)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2" w:name="__DdeLink__702_1780501040"/>
      <w:r>
        <w:rPr>
          <w:rFonts w:ascii="Courier New" w:hAnsi="Courier New"/>
          <w:b w:val="false"/>
          <w:i w:val="false"/>
          <w:sz w:val="18"/>
          <w:u w:val="none"/>
          <w:lang w:val="en"/>
        </w:rPr>
        <w:t>script "</w:t>
      </w:r>
      <w:bookmarkEnd w:id="2"/>
      <w:r>
        <w:rPr>
          <w:rFonts w:ascii="Courier New" w:hAnsi="Courier New"/>
          <w:b w:val="false"/>
          <w:bCs w:val="false"/>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u w:val="single"/>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pP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u w:val="single"/>
        </w:rPr>
      </w:pP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u w:val="single"/>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u w:val="single"/>
        </w:rPr>
      </w:pP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u w:val="single"/>
        </w:rPr>
      </w:pPr>
      <w:r>
        <w:rPr>
          <w:rFonts w:ascii="Courier New" w:hAnsi="Courier New"/>
          <w:b w:val="false"/>
          <w:i w:val="false"/>
          <w:color w:val="000000"/>
          <w:sz w:val="18"/>
          <w:u w:val="none"/>
          <w:lang w:val="en"/>
        </w:rPr>
        <w:t>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MyUpdateMsg)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1806</TotalTime>
  <Application>LibreOffice/6.0.4.2$Windows_X86_64 LibreOffice_project/9b0d9b32d5dcda91d2f1a96dc04c645c450872bf</Application>
  <Pages>9</Pages>
  <Words>2077</Words>
  <Characters>10086</Characters>
  <CharactersWithSpaces>12330</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2018-09-11T11:49:54Z</dcterms:modified>
  <cp:revision>455</cp:revision>
  <dc:subject/>
  <dc:title/>
</cp:coreProperties>
</file>