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0C49" w14:textId="77777777" w:rsidR="001C37F5" w:rsidRPr="009640E6" w:rsidRDefault="001C37F5" w:rsidP="001C37F5">
      <w:pPr>
        <w:pStyle w:val="SubSubHead"/>
        <w:rPr>
          <w:color w:val="auto"/>
        </w:rPr>
      </w:pPr>
      <w:r w:rsidRPr="009640E6">
        <w:rPr>
          <w:b/>
          <w:bCs/>
          <w:i w:val="0"/>
          <w:iCs/>
          <w:color w:val="auto"/>
        </w:rPr>
        <w:t>Balancing off ledger accounts</w:t>
      </w:r>
    </w:p>
    <w:p w14:paraId="40DB2383" w14:textId="77777777" w:rsidR="001C37F5" w:rsidRPr="009640E6" w:rsidRDefault="001C37F5" w:rsidP="001C37F5">
      <w:pPr>
        <w:pStyle w:val="Body"/>
      </w:pPr>
      <w:r w:rsidRPr="009640E6">
        <w:t>At the end of an accounting period, each ledger account is balanced off to determine the closing position. The process involves the following steps:</w:t>
      </w:r>
    </w:p>
    <w:p w14:paraId="31EE2E02" w14:textId="77777777" w:rsidR="001C37F5" w:rsidRPr="009640E6" w:rsidRDefault="001C37F5" w:rsidP="001C37F5">
      <w:pPr>
        <w:pStyle w:val="Body"/>
      </w:pPr>
      <w:r w:rsidRPr="009640E6">
        <w:rPr>
          <w:b/>
        </w:rPr>
        <w:t>Step 1</w:t>
      </w:r>
      <w:r w:rsidRPr="009640E6">
        <w:t xml:space="preserve"> – Add up the debit and credit side of the ledger account and use the </w:t>
      </w:r>
      <w:r w:rsidRPr="009640E6">
        <w:rPr>
          <w:b/>
          <w:bCs/>
        </w:rPr>
        <w:t>higher total for both columns.</w:t>
      </w:r>
    </w:p>
    <w:p w14:paraId="1967DF44" w14:textId="77777777" w:rsidR="001C37F5" w:rsidRPr="009640E6" w:rsidRDefault="001C37F5" w:rsidP="001C37F5">
      <w:pPr>
        <w:pStyle w:val="Body"/>
        <w:spacing w:before="120"/>
      </w:pPr>
      <w:r w:rsidRPr="009640E6">
        <w:rPr>
          <w:b/>
        </w:rPr>
        <w:t xml:space="preserve">Step 2 – </w:t>
      </w:r>
      <w:r w:rsidRPr="009640E6">
        <w:t xml:space="preserve">One side of the ledger account won’t add up to this total, so a ‘balancing figure’ is inserted to make it balance to the total. This is known as the </w:t>
      </w:r>
      <w:r w:rsidRPr="009640E6">
        <w:rPr>
          <w:b/>
          <w:bCs/>
        </w:rPr>
        <w:t>balance carried down</w:t>
      </w:r>
      <w:r w:rsidRPr="009640E6">
        <w:t xml:space="preserve"> (c/d) or </w:t>
      </w:r>
      <w:r w:rsidRPr="009640E6">
        <w:rPr>
          <w:b/>
          <w:bCs/>
        </w:rPr>
        <w:t>balance carried forward</w:t>
      </w:r>
      <w:r w:rsidRPr="009640E6">
        <w:t xml:space="preserve"> (c/f).</w:t>
      </w:r>
    </w:p>
    <w:p w14:paraId="40ECF3B1" w14:textId="77777777" w:rsidR="001C37F5" w:rsidRPr="009640E6" w:rsidRDefault="001C37F5" w:rsidP="001C37F5">
      <w:pPr>
        <w:pStyle w:val="Body"/>
      </w:pPr>
      <w:r w:rsidRPr="009640E6">
        <w:rPr>
          <w:b/>
          <w:bCs/>
        </w:rPr>
        <w:t xml:space="preserve">Step 3 – </w:t>
      </w:r>
      <w:r w:rsidRPr="009640E6">
        <w:t xml:space="preserve">At the start of the next accounting period this becomes the </w:t>
      </w:r>
      <w:r w:rsidRPr="009640E6">
        <w:rPr>
          <w:b/>
          <w:bCs/>
        </w:rPr>
        <w:t>balance brought down</w:t>
      </w:r>
      <w:r w:rsidRPr="009640E6">
        <w:t xml:space="preserve"> (b/d)  or </w:t>
      </w:r>
      <w:r w:rsidRPr="009640E6">
        <w:rPr>
          <w:b/>
          <w:bCs/>
        </w:rPr>
        <w:t>balance brought forward</w:t>
      </w:r>
      <w:r w:rsidRPr="009640E6">
        <w:t xml:space="preserve"> (b/f) on the opposite side of the ledger account as the opening balance for the next financial period.</w:t>
      </w:r>
    </w:p>
    <w:p w14:paraId="07C419BC" w14:textId="79E11088" w:rsidR="001C37F5" w:rsidRPr="001C37F5" w:rsidRDefault="001C37F5" w:rsidP="001C37F5">
      <w:pPr>
        <w:rPr>
          <w:rFonts w:ascii="Calibri" w:eastAsiaTheme="minorEastAsia" w:hAnsi="Calibri"/>
          <w:lang w:eastAsia="en-GB"/>
        </w:rPr>
      </w:pPr>
      <w:r w:rsidRPr="009640E6">
        <w:t>An example:</w:t>
      </w:r>
    </w:p>
    <w:p w14:paraId="091C015D" w14:textId="77777777" w:rsidR="001C37F5" w:rsidRPr="009640E6" w:rsidRDefault="001C37F5" w:rsidP="001C37F5">
      <w:pPr>
        <w:pStyle w:val="Body"/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16"/>
        <w:gridCol w:w="2394"/>
        <w:gridCol w:w="1097"/>
        <w:gridCol w:w="1017"/>
        <w:gridCol w:w="2421"/>
        <w:gridCol w:w="1075"/>
      </w:tblGrid>
      <w:tr w:rsidR="001C37F5" w:rsidRPr="009640E6" w14:paraId="7C6D67F6" w14:textId="77777777" w:rsidTr="00897CEF">
        <w:tc>
          <w:tcPr>
            <w:tcW w:w="9020" w:type="dxa"/>
            <w:gridSpan w:val="6"/>
            <w:tcBorders>
              <w:bottom w:val="single" w:sz="8" w:space="0" w:color="auto"/>
            </w:tcBorders>
            <w:shd w:val="clear" w:color="auto" w:fill="FFFFFF" w:themeFill="background1"/>
          </w:tcPr>
          <w:p w14:paraId="126D0BE1" w14:textId="77777777" w:rsidR="001C37F5" w:rsidRPr="009640E6" w:rsidRDefault="001C37F5" w:rsidP="00897CEF">
            <w:pPr>
              <w:pStyle w:val="TableBody"/>
              <w:tabs>
                <w:tab w:val="center" w:pos="4312"/>
                <w:tab w:val="right" w:pos="8647"/>
              </w:tabs>
              <w:jc w:val="left"/>
            </w:pPr>
            <w:r w:rsidRPr="009640E6">
              <w:rPr>
                <w:b/>
              </w:rPr>
              <w:t>DR</w:t>
            </w:r>
            <w:r w:rsidRPr="009640E6">
              <w:rPr>
                <w:b/>
              </w:rPr>
              <w:tab/>
              <w:t>Cash</w:t>
            </w:r>
            <w:r w:rsidRPr="009640E6">
              <w:rPr>
                <w:b/>
              </w:rPr>
              <w:tab/>
              <w:t>CR</w:t>
            </w:r>
          </w:p>
        </w:tc>
      </w:tr>
      <w:tr w:rsidR="001C37F5" w:rsidRPr="009640E6" w14:paraId="5FA3E2FC" w14:textId="77777777" w:rsidTr="00897CEF">
        <w:tc>
          <w:tcPr>
            <w:tcW w:w="1016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0C3A5589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Date</w:t>
            </w:r>
          </w:p>
        </w:tc>
        <w:tc>
          <w:tcPr>
            <w:tcW w:w="2394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34F02457" w14:textId="77777777" w:rsidR="001C37F5" w:rsidRPr="009640E6" w:rsidRDefault="001C37F5" w:rsidP="00897CEF">
            <w:pPr>
              <w:pStyle w:val="TableBody"/>
              <w:jc w:val="left"/>
              <w:rPr>
                <w:b/>
              </w:rPr>
            </w:pPr>
            <w:r w:rsidRPr="009640E6">
              <w:rPr>
                <w:b/>
              </w:rPr>
              <w:t>Details</w:t>
            </w:r>
          </w:p>
        </w:tc>
        <w:tc>
          <w:tcPr>
            <w:tcW w:w="109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AEE097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  <w:jc w:val="left"/>
              <w:rPr>
                <w:b/>
              </w:rPr>
            </w:pPr>
            <w:r w:rsidRPr="009640E6">
              <w:rPr>
                <w:b/>
              </w:rPr>
              <w:t xml:space="preserve">£   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</w:tcPr>
          <w:p w14:paraId="7EEAE987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Date</w:t>
            </w:r>
          </w:p>
        </w:tc>
        <w:tc>
          <w:tcPr>
            <w:tcW w:w="2421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50DD6CF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Details</w:t>
            </w:r>
          </w:p>
        </w:tc>
        <w:tc>
          <w:tcPr>
            <w:tcW w:w="1075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4EF672EE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  <w:rPr>
                <w:b/>
              </w:rPr>
            </w:pPr>
            <w:r w:rsidRPr="009640E6">
              <w:rPr>
                <w:b/>
              </w:rPr>
              <w:t xml:space="preserve">£   </w:t>
            </w:r>
          </w:p>
        </w:tc>
      </w:tr>
      <w:tr w:rsidR="001C37F5" w:rsidRPr="009640E6" w14:paraId="7E2D7D55" w14:textId="77777777" w:rsidTr="00897CEF">
        <w:tc>
          <w:tcPr>
            <w:tcW w:w="1016" w:type="dxa"/>
            <w:shd w:val="clear" w:color="auto" w:fill="auto"/>
          </w:tcPr>
          <w:p w14:paraId="2D47C52D" w14:textId="77777777" w:rsidR="001C37F5" w:rsidRPr="009640E6" w:rsidRDefault="001C37F5" w:rsidP="00897CEF">
            <w:pPr>
              <w:pStyle w:val="TableBody"/>
            </w:pPr>
            <w:r w:rsidRPr="009640E6">
              <w:t>1</w:t>
            </w:r>
          </w:p>
        </w:tc>
        <w:tc>
          <w:tcPr>
            <w:tcW w:w="2394" w:type="dxa"/>
          </w:tcPr>
          <w:p w14:paraId="35640AD7" w14:textId="77777777" w:rsidR="001C37F5" w:rsidRPr="009640E6" w:rsidRDefault="001C37F5" w:rsidP="00897CEF">
            <w:pPr>
              <w:pStyle w:val="TableBody"/>
            </w:pPr>
            <w:r w:rsidRPr="009640E6">
              <w:t>Receipt</w:t>
            </w:r>
          </w:p>
        </w:tc>
        <w:tc>
          <w:tcPr>
            <w:tcW w:w="1097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A00BC7C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  <w:r w:rsidRPr="009640E6">
              <w:t>100</w:t>
            </w:r>
          </w:p>
        </w:tc>
        <w:tc>
          <w:tcPr>
            <w:tcW w:w="1017" w:type="dxa"/>
            <w:tcBorders>
              <w:left w:val="single" w:sz="8" w:space="0" w:color="auto"/>
            </w:tcBorders>
            <w:shd w:val="clear" w:color="auto" w:fill="auto"/>
          </w:tcPr>
          <w:p w14:paraId="694BCDD7" w14:textId="77777777" w:rsidR="001C37F5" w:rsidRPr="009640E6" w:rsidRDefault="001C37F5" w:rsidP="00897CEF">
            <w:pPr>
              <w:pStyle w:val="TableBody"/>
            </w:pPr>
            <w:r w:rsidRPr="009640E6">
              <w:t>2</w:t>
            </w:r>
          </w:p>
        </w:tc>
        <w:tc>
          <w:tcPr>
            <w:tcW w:w="2421" w:type="dxa"/>
          </w:tcPr>
          <w:p w14:paraId="1C24A76B" w14:textId="77777777" w:rsidR="001C37F5" w:rsidRPr="009640E6" w:rsidRDefault="001C37F5" w:rsidP="00897CEF">
            <w:pPr>
              <w:pStyle w:val="TableBody"/>
            </w:pPr>
            <w:r w:rsidRPr="009640E6">
              <w:t>Payment</w:t>
            </w:r>
          </w:p>
        </w:tc>
        <w:tc>
          <w:tcPr>
            <w:tcW w:w="1075" w:type="dxa"/>
            <w:shd w:val="clear" w:color="auto" w:fill="FFFFFF" w:themeFill="background1"/>
          </w:tcPr>
          <w:p w14:paraId="45378671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  <w:r w:rsidRPr="009640E6">
              <w:t>60</w:t>
            </w:r>
          </w:p>
        </w:tc>
      </w:tr>
      <w:tr w:rsidR="001C37F5" w:rsidRPr="009640E6" w14:paraId="689F617E" w14:textId="77777777" w:rsidTr="00897CEF">
        <w:tc>
          <w:tcPr>
            <w:tcW w:w="1016" w:type="dxa"/>
            <w:shd w:val="clear" w:color="auto" w:fill="auto"/>
          </w:tcPr>
          <w:p w14:paraId="322E0F61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2394" w:type="dxa"/>
            <w:shd w:val="clear" w:color="auto" w:fill="auto"/>
          </w:tcPr>
          <w:p w14:paraId="2C10CC7D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1097" w:type="dxa"/>
            <w:tcBorders>
              <w:right w:val="single" w:sz="8" w:space="0" w:color="auto"/>
            </w:tcBorders>
            <w:shd w:val="clear" w:color="auto" w:fill="auto"/>
          </w:tcPr>
          <w:p w14:paraId="1B819F7E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</w:p>
        </w:tc>
        <w:tc>
          <w:tcPr>
            <w:tcW w:w="1017" w:type="dxa"/>
            <w:tcBorders>
              <w:left w:val="single" w:sz="8" w:space="0" w:color="auto"/>
            </w:tcBorders>
            <w:shd w:val="clear" w:color="auto" w:fill="auto"/>
          </w:tcPr>
          <w:p w14:paraId="56D07492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96F24" wp14:editId="7809AE9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93980</wp:posOffset>
                      </wp:positionV>
                      <wp:extent cx="2371725" cy="438150"/>
                      <wp:effectExtent l="38100" t="0" r="28575" b="76200"/>
                      <wp:wrapNone/>
                      <wp:docPr id="869" name="Straight Arrow Connector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1725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709C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69" o:spid="_x0000_s1026" type="#_x0000_t32" style="position:absolute;margin-left:-6.15pt;margin-top:7.4pt;width:186.75pt;height:3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" strokecolor="#4472c4" strokeweight="1pt">
                      <v:stroke endarrow="block" joinstyle="miter"/>
                    </v:shape>
                  </w:pict>
                </mc:Fallback>
              </mc:AlternateContent>
            </w:r>
            <w:r w:rsidRPr="009640E6">
              <w:rPr>
                <w:b/>
              </w:rPr>
              <w:t>31 Dec</w:t>
            </w:r>
          </w:p>
        </w:tc>
        <w:tc>
          <w:tcPr>
            <w:tcW w:w="2421" w:type="dxa"/>
            <w:shd w:val="clear" w:color="auto" w:fill="auto"/>
          </w:tcPr>
          <w:p w14:paraId="1614F00A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Balance c/d</w:t>
            </w:r>
          </w:p>
        </w:tc>
        <w:tc>
          <w:tcPr>
            <w:tcW w:w="1075" w:type="dxa"/>
            <w:shd w:val="clear" w:color="auto" w:fill="auto"/>
          </w:tcPr>
          <w:p w14:paraId="3C4971CC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  <w:rPr>
                <w:b/>
              </w:rPr>
            </w:pPr>
            <w:r w:rsidRPr="009640E6">
              <w:rPr>
                <w:b/>
              </w:rPr>
              <w:t>40</w:t>
            </w:r>
          </w:p>
        </w:tc>
      </w:tr>
      <w:tr w:rsidR="001C37F5" w:rsidRPr="009640E6" w14:paraId="43B08947" w14:textId="77777777" w:rsidTr="00897CEF">
        <w:tc>
          <w:tcPr>
            <w:tcW w:w="1016" w:type="dxa"/>
            <w:shd w:val="clear" w:color="auto" w:fill="auto"/>
          </w:tcPr>
          <w:p w14:paraId="456C1C6E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2394" w:type="dxa"/>
            <w:shd w:val="clear" w:color="auto" w:fill="auto"/>
          </w:tcPr>
          <w:p w14:paraId="5F8B72E3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1097" w:type="dxa"/>
            <w:tcBorders>
              <w:right w:val="single" w:sz="8" w:space="0" w:color="auto"/>
            </w:tcBorders>
            <w:shd w:val="clear" w:color="auto" w:fill="auto"/>
          </w:tcPr>
          <w:p w14:paraId="03C360E2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  <w:r w:rsidRPr="009640E6">
              <w:t>100</w:t>
            </w:r>
          </w:p>
        </w:tc>
        <w:tc>
          <w:tcPr>
            <w:tcW w:w="1017" w:type="dxa"/>
            <w:tcBorders>
              <w:left w:val="single" w:sz="8" w:space="0" w:color="auto"/>
            </w:tcBorders>
            <w:shd w:val="clear" w:color="auto" w:fill="auto"/>
          </w:tcPr>
          <w:p w14:paraId="79687F96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2421" w:type="dxa"/>
            <w:shd w:val="clear" w:color="auto" w:fill="auto"/>
          </w:tcPr>
          <w:p w14:paraId="38F39441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1075" w:type="dxa"/>
            <w:shd w:val="clear" w:color="auto" w:fill="auto"/>
          </w:tcPr>
          <w:p w14:paraId="738B57B4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  <w:r w:rsidRPr="009640E6">
              <w:t>100</w:t>
            </w:r>
          </w:p>
        </w:tc>
      </w:tr>
      <w:tr w:rsidR="001C37F5" w:rsidRPr="009640E6" w14:paraId="4308467C" w14:textId="77777777" w:rsidTr="00897CEF">
        <w:tc>
          <w:tcPr>
            <w:tcW w:w="1016" w:type="dxa"/>
            <w:shd w:val="clear" w:color="auto" w:fill="auto"/>
          </w:tcPr>
          <w:p w14:paraId="668F506B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1 Jan</w:t>
            </w:r>
          </w:p>
        </w:tc>
        <w:tc>
          <w:tcPr>
            <w:tcW w:w="2394" w:type="dxa"/>
            <w:shd w:val="clear" w:color="auto" w:fill="auto"/>
          </w:tcPr>
          <w:p w14:paraId="230CFABB" w14:textId="77777777" w:rsidR="001C37F5" w:rsidRPr="009640E6" w:rsidRDefault="001C37F5" w:rsidP="00897CEF">
            <w:pPr>
              <w:pStyle w:val="TableBody"/>
              <w:rPr>
                <w:b/>
              </w:rPr>
            </w:pPr>
            <w:r w:rsidRPr="009640E6">
              <w:rPr>
                <w:b/>
              </w:rPr>
              <w:t>Balance b/d</w:t>
            </w:r>
          </w:p>
        </w:tc>
        <w:tc>
          <w:tcPr>
            <w:tcW w:w="1097" w:type="dxa"/>
            <w:tcBorders>
              <w:right w:val="single" w:sz="8" w:space="0" w:color="auto"/>
            </w:tcBorders>
            <w:shd w:val="clear" w:color="auto" w:fill="auto"/>
          </w:tcPr>
          <w:p w14:paraId="43FB93F4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  <w:rPr>
                <w:b/>
              </w:rPr>
            </w:pPr>
            <w:r w:rsidRPr="009640E6">
              <w:rPr>
                <w:b/>
              </w:rPr>
              <w:t>40</w:t>
            </w:r>
          </w:p>
        </w:tc>
        <w:tc>
          <w:tcPr>
            <w:tcW w:w="1017" w:type="dxa"/>
            <w:tcBorders>
              <w:left w:val="single" w:sz="8" w:space="0" w:color="auto"/>
            </w:tcBorders>
            <w:shd w:val="clear" w:color="auto" w:fill="auto"/>
          </w:tcPr>
          <w:p w14:paraId="2567BE13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2421" w:type="dxa"/>
            <w:shd w:val="clear" w:color="auto" w:fill="auto"/>
          </w:tcPr>
          <w:p w14:paraId="17F3AEDB" w14:textId="77777777" w:rsidR="001C37F5" w:rsidRPr="009640E6" w:rsidRDefault="001C37F5" w:rsidP="00897CEF">
            <w:pPr>
              <w:pStyle w:val="TableBody"/>
            </w:pPr>
          </w:p>
        </w:tc>
        <w:tc>
          <w:tcPr>
            <w:tcW w:w="1075" w:type="dxa"/>
            <w:shd w:val="clear" w:color="auto" w:fill="auto"/>
          </w:tcPr>
          <w:p w14:paraId="7A87B3C3" w14:textId="77777777" w:rsidR="001C37F5" w:rsidRPr="009640E6" w:rsidRDefault="001C37F5" w:rsidP="00897CEF">
            <w:pPr>
              <w:pStyle w:val="TableBody"/>
              <w:tabs>
                <w:tab w:val="decimal" w:pos="709"/>
              </w:tabs>
            </w:pPr>
          </w:p>
        </w:tc>
      </w:tr>
    </w:tbl>
    <w:p w14:paraId="2F84EC9F" w14:textId="77777777" w:rsidR="001C37F5" w:rsidRPr="009640E6" w:rsidRDefault="001C37F5" w:rsidP="001C37F5">
      <w:pPr>
        <w:pStyle w:val="Bullet1"/>
        <w:numPr>
          <w:ilvl w:val="0"/>
          <w:numId w:val="0"/>
        </w:numPr>
      </w:pPr>
    </w:p>
    <w:p w14:paraId="197666FB" w14:textId="77777777" w:rsidR="001C37F5" w:rsidRPr="009640E6" w:rsidRDefault="001C37F5" w:rsidP="001C37F5">
      <w:pPr>
        <w:pStyle w:val="SubSubHead"/>
        <w:rPr>
          <w:color w:val="auto"/>
        </w:rPr>
      </w:pPr>
    </w:p>
    <w:p w14:paraId="7D3733D9" w14:textId="77777777" w:rsidR="00B624DA" w:rsidRDefault="00B624DA"/>
    <w:sectPr w:rsidR="00B6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7025149A"/>
    <w:multiLevelType w:val="multilevel"/>
    <w:tmpl w:val="A6D4C7C8"/>
    <w:numStyleLink w:val="QuestionsList1"/>
  </w:abstractNum>
  <w:num w:numId="1" w16cid:durableId="341206896">
    <w:abstractNumId w:val="2"/>
  </w:num>
  <w:num w:numId="2" w16cid:durableId="1888565498">
    <w:abstractNumId w:val="3"/>
  </w:num>
  <w:num w:numId="3" w16cid:durableId="1108038544">
    <w:abstractNumId w:val="0"/>
  </w:num>
  <w:num w:numId="4" w16cid:durableId="14728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5"/>
    <w:rsid w:val="00022E80"/>
    <w:rsid w:val="001C37F5"/>
    <w:rsid w:val="00B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319"/>
  <w15:chartTrackingRefBased/>
  <w15:docId w15:val="{FBED77F5-67FD-4AA2-AC41-927BC4A8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1C37F5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1C37F5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1C37F5"/>
    <w:pPr>
      <w:numPr>
        <w:ilvl w:val="4"/>
      </w:numPr>
    </w:pPr>
  </w:style>
  <w:style w:type="paragraph" w:customStyle="1" w:styleId="ListPara2">
    <w:name w:val="ListPara2"/>
    <w:qFormat/>
    <w:rsid w:val="001C37F5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1C37F5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1C37F5"/>
    <w:pPr>
      <w:numPr>
        <w:ilvl w:val="5"/>
      </w:numPr>
    </w:pPr>
  </w:style>
  <w:style w:type="paragraph" w:customStyle="1" w:styleId="ListText2">
    <w:name w:val="ListText2"/>
    <w:basedOn w:val="ListText1"/>
    <w:qFormat/>
    <w:rsid w:val="001C37F5"/>
    <w:pPr>
      <w:numPr>
        <w:ilvl w:val="7"/>
      </w:numPr>
    </w:pPr>
  </w:style>
  <w:style w:type="paragraph" w:customStyle="1" w:styleId="SubHead">
    <w:name w:val="SubHead"/>
    <w:next w:val="Body"/>
    <w:qFormat/>
    <w:rsid w:val="001C37F5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1C37F5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1C37F5"/>
    <w:pPr>
      <w:numPr>
        <w:numId w:val="1"/>
      </w:numPr>
    </w:pPr>
  </w:style>
  <w:style w:type="paragraph" w:customStyle="1" w:styleId="Bullet1">
    <w:name w:val="Bullet1"/>
    <w:uiPriority w:val="3"/>
    <w:qFormat/>
    <w:rsid w:val="001C37F5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1C37F5"/>
    <w:pPr>
      <w:numPr>
        <w:ilvl w:val="1"/>
      </w:numPr>
    </w:pPr>
  </w:style>
  <w:style w:type="numbering" w:customStyle="1" w:styleId="BulletList1">
    <w:name w:val="BulletList1"/>
    <w:uiPriority w:val="99"/>
    <w:rsid w:val="001C37F5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1C37F5"/>
    <w:pPr>
      <w:numPr>
        <w:ilvl w:val="3"/>
      </w:numPr>
    </w:pPr>
  </w:style>
  <w:style w:type="paragraph" w:customStyle="1" w:styleId="Bullet2">
    <w:name w:val="Bullet2"/>
    <w:uiPriority w:val="3"/>
    <w:qFormat/>
    <w:rsid w:val="001C37F5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1C37F5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1C37F5"/>
    <w:pPr>
      <w:numPr>
        <w:ilvl w:val="4"/>
      </w:numPr>
    </w:pPr>
  </w:style>
  <w:style w:type="paragraph" w:customStyle="1" w:styleId="TableBody">
    <w:name w:val="TableBody"/>
    <w:qFormat/>
    <w:rsid w:val="001C37F5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table" w:customStyle="1" w:styleId="NumberTable">
    <w:name w:val="NumberTable"/>
    <w:basedOn w:val="TableNormal"/>
    <w:uiPriority w:val="99"/>
    <w:rsid w:val="001C37F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2023-04-20T13:14:00Z</dcterms:created>
  <dcterms:modified xsi:type="dcterms:W3CDTF">2023-04-20T13:14:00Z</dcterms:modified>
</cp:coreProperties>
</file>