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237F" w14:textId="17BC7D8B" w:rsidR="00BE47EA" w:rsidRPr="00BE47EA" w:rsidRDefault="00BE47EA" w:rsidP="00BE47EA">
      <w:pPr>
        <w:pStyle w:val="ListPara1"/>
        <w:numPr>
          <w:ilvl w:val="0"/>
          <w:numId w:val="0"/>
        </w:numPr>
        <w:ind w:left="567" w:hanging="567"/>
        <w:rPr>
          <w:b/>
          <w:bCs/>
        </w:rPr>
      </w:pPr>
      <w:r w:rsidRPr="00BE47EA">
        <w:rPr>
          <w:b/>
          <w:bCs/>
        </w:rPr>
        <w:t>Completing a partially complete SDB</w:t>
      </w:r>
    </w:p>
    <w:p w14:paraId="1A63DFE9" w14:textId="18A3CF6C" w:rsidR="00BE47EA" w:rsidRPr="004F1EBC" w:rsidRDefault="00BE47EA" w:rsidP="00BE47EA">
      <w:pPr>
        <w:pStyle w:val="ListPara1"/>
        <w:numPr>
          <w:ilvl w:val="0"/>
          <w:numId w:val="0"/>
        </w:numPr>
        <w:ind w:left="567" w:hanging="567"/>
      </w:pPr>
      <w:r>
        <w:t>The completed SDB is shown</w:t>
      </w:r>
      <w:r w:rsidRPr="00BE47EA">
        <w:t xml:space="preserve"> below, and the </w:t>
      </w:r>
      <w:r>
        <w:t>totals of each column are calculated.</w:t>
      </w:r>
    </w:p>
    <w:tbl>
      <w:tblPr>
        <w:tblStyle w:val="AATProformaTable"/>
        <w:tblW w:w="8897" w:type="dxa"/>
        <w:tblLook w:val="04A0" w:firstRow="1" w:lastRow="0" w:firstColumn="1" w:lastColumn="0" w:noHBand="0" w:noVBand="1"/>
      </w:tblPr>
      <w:tblGrid>
        <w:gridCol w:w="1066"/>
        <w:gridCol w:w="1066"/>
        <w:gridCol w:w="1066"/>
        <w:gridCol w:w="954"/>
        <w:gridCol w:w="955"/>
        <w:gridCol w:w="955"/>
        <w:gridCol w:w="1417"/>
        <w:gridCol w:w="1418"/>
      </w:tblGrid>
      <w:tr w:rsidR="00BE47EA" w:rsidRPr="004F1EBC" w14:paraId="3662602F" w14:textId="77777777" w:rsidTr="002257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6" w:type="dxa"/>
          </w:tcPr>
          <w:p w14:paraId="0491BC2C" w14:textId="77777777" w:rsidR="00BE47EA" w:rsidRPr="004F1EBC" w:rsidRDefault="00BE47EA" w:rsidP="00225723">
            <w:pPr>
              <w:pStyle w:val="TableHead"/>
            </w:pPr>
            <w:r>
              <w:t xml:space="preserve">Date </w:t>
            </w:r>
          </w:p>
        </w:tc>
        <w:tc>
          <w:tcPr>
            <w:tcW w:w="1066" w:type="dxa"/>
          </w:tcPr>
          <w:p w14:paraId="65ECA53F" w14:textId="77777777" w:rsidR="00BE47EA" w:rsidRPr="004F1EBC" w:rsidRDefault="00BE47EA" w:rsidP="00225723">
            <w:pPr>
              <w:pStyle w:val="TableHead"/>
            </w:pPr>
            <w:r w:rsidRPr="004F1EBC">
              <w:t>Details</w:t>
            </w:r>
          </w:p>
        </w:tc>
        <w:tc>
          <w:tcPr>
            <w:tcW w:w="1066" w:type="dxa"/>
          </w:tcPr>
          <w:p w14:paraId="428C43BE" w14:textId="77777777" w:rsidR="00BE47EA" w:rsidRPr="004F1EBC" w:rsidRDefault="00BE47EA" w:rsidP="00225723">
            <w:pPr>
              <w:pStyle w:val="TableHead"/>
              <w:jc w:val="center"/>
            </w:pPr>
            <w:r>
              <w:t>Invoice n</w:t>
            </w:r>
            <w:r w:rsidRPr="004F1EBC">
              <w:t>umber</w:t>
            </w:r>
          </w:p>
        </w:tc>
        <w:tc>
          <w:tcPr>
            <w:tcW w:w="954" w:type="dxa"/>
          </w:tcPr>
          <w:p w14:paraId="1A0FB268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Total</w:t>
            </w:r>
          </w:p>
          <w:p w14:paraId="673C0636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£</w:t>
            </w:r>
          </w:p>
        </w:tc>
        <w:tc>
          <w:tcPr>
            <w:tcW w:w="955" w:type="dxa"/>
          </w:tcPr>
          <w:p w14:paraId="04C73BEF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VAT</w:t>
            </w:r>
          </w:p>
          <w:p w14:paraId="6A52EC08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£</w:t>
            </w:r>
          </w:p>
        </w:tc>
        <w:tc>
          <w:tcPr>
            <w:tcW w:w="955" w:type="dxa"/>
          </w:tcPr>
          <w:p w14:paraId="0A35CF31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Net</w:t>
            </w:r>
          </w:p>
          <w:p w14:paraId="4D5A4DF0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£</w:t>
            </w:r>
          </w:p>
        </w:tc>
        <w:tc>
          <w:tcPr>
            <w:tcW w:w="1417" w:type="dxa"/>
          </w:tcPr>
          <w:p w14:paraId="1C6CC070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Sales type 1</w:t>
            </w:r>
          </w:p>
          <w:p w14:paraId="131F50C6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£</w:t>
            </w:r>
          </w:p>
        </w:tc>
        <w:tc>
          <w:tcPr>
            <w:tcW w:w="1418" w:type="dxa"/>
          </w:tcPr>
          <w:p w14:paraId="336A655E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Sales type 2</w:t>
            </w:r>
          </w:p>
          <w:p w14:paraId="13BF8BC9" w14:textId="77777777" w:rsidR="00BE47EA" w:rsidRPr="004F1EBC" w:rsidRDefault="00BE47EA" w:rsidP="00225723">
            <w:pPr>
              <w:pStyle w:val="TableHead"/>
              <w:jc w:val="center"/>
            </w:pPr>
            <w:r w:rsidRPr="004F1EBC">
              <w:t>£</w:t>
            </w:r>
          </w:p>
        </w:tc>
      </w:tr>
      <w:tr w:rsidR="00BE47EA" w:rsidRPr="004F1EBC" w14:paraId="75E22539" w14:textId="77777777" w:rsidTr="00225723">
        <w:tc>
          <w:tcPr>
            <w:tcW w:w="1066" w:type="dxa"/>
          </w:tcPr>
          <w:p w14:paraId="7710AD75" w14:textId="77777777" w:rsidR="00BE47EA" w:rsidRPr="004F1EBC" w:rsidRDefault="00BE47EA" w:rsidP="00225723">
            <w:pPr>
              <w:pStyle w:val="TableBody"/>
            </w:pPr>
            <w:r w:rsidRPr="004F1EBC">
              <w:t>31 Mar</w:t>
            </w:r>
          </w:p>
        </w:tc>
        <w:tc>
          <w:tcPr>
            <w:tcW w:w="1066" w:type="dxa"/>
          </w:tcPr>
          <w:p w14:paraId="55DB5F28" w14:textId="77777777" w:rsidR="00BE47EA" w:rsidRPr="004F1EBC" w:rsidRDefault="00BE47EA" w:rsidP="00225723">
            <w:pPr>
              <w:pStyle w:val="TableBody"/>
            </w:pPr>
            <w:r w:rsidRPr="004F1EBC">
              <w:t>ABC Ltd</w:t>
            </w:r>
          </w:p>
        </w:tc>
        <w:tc>
          <w:tcPr>
            <w:tcW w:w="1066" w:type="dxa"/>
          </w:tcPr>
          <w:p w14:paraId="5BDE72E5" w14:textId="77777777" w:rsidR="00BE47EA" w:rsidRPr="004F1EBC" w:rsidRDefault="00BE47EA" w:rsidP="00225723">
            <w:pPr>
              <w:pStyle w:val="TableBody"/>
              <w:jc w:val="center"/>
            </w:pPr>
            <w:r w:rsidRPr="004F1EBC">
              <w:t>1</w:t>
            </w:r>
          </w:p>
        </w:tc>
        <w:tc>
          <w:tcPr>
            <w:tcW w:w="954" w:type="dxa"/>
          </w:tcPr>
          <w:p w14:paraId="7FEAB492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120</w:t>
            </w:r>
          </w:p>
        </w:tc>
        <w:tc>
          <w:tcPr>
            <w:tcW w:w="955" w:type="dxa"/>
          </w:tcPr>
          <w:p w14:paraId="6A1E4F21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</w:pPr>
            <w:r w:rsidRPr="004F1EBC">
              <w:t>20</w:t>
            </w:r>
          </w:p>
        </w:tc>
        <w:tc>
          <w:tcPr>
            <w:tcW w:w="955" w:type="dxa"/>
          </w:tcPr>
          <w:p w14:paraId="27CE9C33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</w:pPr>
            <w:r w:rsidRPr="004F1EBC">
              <w:t>100</w:t>
            </w:r>
          </w:p>
        </w:tc>
        <w:tc>
          <w:tcPr>
            <w:tcW w:w="1417" w:type="dxa"/>
          </w:tcPr>
          <w:p w14:paraId="3C4B29FE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  <w:r w:rsidRPr="004F1EBC">
              <w:t>100</w:t>
            </w:r>
          </w:p>
        </w:tc>
        <w:tc>
          <w:tcPr>
            <w:tcW w:w="1418" w:type="dxa"/>
          </w:tcPr>
          <w:p w14:paraId="2A96CA78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</w:p>
        </w:tc>
      </w:tr>
      <w:tr w:rsidR="00BE47EA" w:rsidRPr="004F1EBC" w14:paraId="7706834C" w14:textId="77777777" w:rsidTr="00225723">
        <w:tc>
          <w:tcPr>
            <w:tcW w:w="1066" w:type="dxa"/>
          </w:tcPr>
          <w:p w14:paraId="7FBAEE6B" w14:textId="77777777" w:rsidR="00BE47EA" w:rsidRPr="004F1EBC" w:rsidRDefault="00BE47EA" w:rsidP="00225723">
            <w:pPr>
              <w:pStyle w:val="TableBody"/>
            </w:pPr>
            <w:r w:rsidRPr="004F1EBC">
              <w:t>31 Mar</w:t>
            </w:r>
          </w:p>
        </w:tc>
        <w:tc>
          <w:tcPr>
            <w:tcW w:w="1066" w:type="dxa"/>
          </w:tcPr>
          <w:p w14:paraId="415982AC" w14:textId="77777777" w:rsidR="00BE47EA" w:rsidRPr="004F1EBC" w:rsidRDefault="00BE47EA" w:rsidP="00225723">
            <w:pPr>
              <w:pStyle w:val="TableBody"/>
            </w:pPr>
            <w:r w:rsidRPr="004F1EBC">
              <w:t>DEF Ltd</w:t>
            </w:r>
          </w:p>
        </w:tc>
        <w:tc>
          <w:tcPr>
            <w:tcW w:w="1066" w:type="dxa"/>
          </w:tcPr>
          <w:p w14:paraId="21F6C772" w14:textId="77777777" w:rsidR="00BE47EA" w:rsidRPr="004F1EBC" w:rsidRDefault="00BE47EA" w:rsidP="00225723">
            <w:pPr>
              <w:pStyle w:val="TableBody"/>
              <w:jc w:val="center"/>
            </w:pPr>
            <w:r w:rsidRPr="004F1EBC">
              <w:t>2</w:t>
            </w:r>
          </w:p>
        </w:tc>
        <w:tc>
          <w:tcPr>
            <w:tcW w:w="954" w:type="dxa"/>
          </w:tcPr>
          <w:p w14:paraId="134E146B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</w:pPr>
            <w:r w:rsidRPr="004F1EBC">
              <w:t>240</w:t>
            </w:r>
          </w:p>
        </w:tc>
        <w:tc>
          <w:tcPr>
            <w:tcW w:w="955" w:type="dxa"/>
          </w:tcPr>
          <w:p w14:paraId="35720298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40</w:t>
            </w:r>
          </w:p>
        </w:tc>
        <w:tc>
          <w:tcPr>
            <w:tcW w:w="955" w:type="dxa"/>
          </w:tcPr>
          <w:p w14:paraId="71DA641F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</w:pPr>
            <w:r w:rsidRPr="004F1EBC">
              <w:t>200</w:t>
            </w:r>
          </w:p>
        </w:tc>
        <w:tc>
          <w:tcPr>
            <w:tcW w:w="1417" w:type="dxa"/>
          </w:tcPr>
          <w:p w14:paraId="623FF079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</w:p>
        </w:tc>
        <w:tc>
          <w:tcPr>
            <w:tcW w:w="1418" w:type="dxa"/>
          </w:tcPr>
          <w:p w14:paraId="49F92B7F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  <w:r w:rsidRPr="004F1EBC">
              <w:t>200</w:t>
            </w:r>
          </w:p>
        </w:tc>
      </w:tr>
      <w:tr w:rsidR="00BE47EA" w:rsidRPr="004F1EBC" w14:paraId="3BCB2E68" w14:textId="77777777" w:rsidTr="00225723">
        <w:tc>
          <w:tcPr>
            <w:tcW w:w="1066" w:type="dxa"/>
          </w:tcPr>
          <w:p w14:paraId="4FE7E47B" w14:textId="77777777" w:rsidR="00BE47EA" w:rsidRPr="004F1EBC" w:rsidRDefault="00BE47EA" w:rsidP="00225723">
            <w:pPr>
              <w:pStyle w:val="TableBody"/>
            </w:pPr>
            <w:r w:rsidRPr="004F1EBC">
              <w:t>31 Mar</w:t>
            </w:r>
          </w:p>
        </w:tc>
        <w:tc>
          <w:tcPr>
            <w:tcW w:w="1066" w:type="dxa"/>
          </w:tcPr>
          <w:p w14:paraId="0E3535DA" w14:textId="77777777" w:rsidR="00BE47EA" w:rsidRPr="004F1EBC" w:rsidRDefault="00BE47EA" w:rsidP="00225723">
            <w:pPr>
              <w:pStyle w:val="TableBody"/>
            </w:pPr>
            <w:r w:rsidRPr="004F1EBC">
              <w:t>GHI Ltd</w:t>
            </w:r>
          </w:p>
        </w:tc>
        <w:tc>
          <w:tcPr>
            <w:tcW w:w="1066" w:type="dxa"/>
          </w:tcPr>
          <w:p w14:paraId="2A5FA6A4" w14:textId="77777777" w:rsidR="00BE47EA" w:rsidRPr="004F1EBC" w:rsidRDefault="00BE47EA" w:rsidP="00225723">
            <w:pPr>
              <w:pStyle w:val="TableBody"/>
              <w:jc w:val="center"/>
            </w:pPr>
            <w:r w:rsidRPr="004F1EBC">
              <w:t>3</w:t>
            </w:r>
          </w:p>
        </w:tc>
        <w:tc>
          <w:tcPr>
            <w:tcW w:w="954" w:type="dxa"/>
          </w:tcPr>
          <w:p w14:paraId="3288AF21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</w:pPr>
            <w:r w:rsidRPr="004F1EBC">
              <w:t>360</w:t>
            </w:r>
          </w:p>
        </w:tc>
        <w:tc>
          <w:tcPr>
            <w:tcW w:w="955" w:type="dxa"/>
          </w:tcPr>
          <w:p w14:paraId="40B35EC1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60</w:t>
            </w:r>
          </w:p>
        </w:tc>
        <w:tc>
          <w:tcPr>
            <w:tcW w:w="955" w:type="dxa"/>
          </w:tcPr>
          <w:p w14:paraId="3C46DCD1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300</w:t>
            </w:r>
          </w:p>
        </w:tc>
        <w:tc>
          <w:tcPr>
            <w:tcW w:w="1417" w:type="dxa"/>
          </w:tcPr>
          <w:p w14:paraId="05921B71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  <w:r w:rsidRPr="004F1EBC">
              <w:t>300</w:t>
            </w:r>
          </w:p>
        </w:tc>
        <w:tc>
          <w:tcPr>
            <w:tcW w:w="1418" w:type="dxa"/>
          </w:tcPr>
          <w:p w14:paraId="5133658A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</w:p>
        </w:tc>
      </w:tr>
      <w:tr w:rsidR="00BE47EA" w:rsidRPr="004F1EBC" w14:paraId="619DBD60" w14:textId="77777777" w:rsidTr="00225723">
        <w:tc>
          <w:tcPr>
            <w:tcW w:w="1066" w:type="dxa"/>
          </w:tcPr>
          <w:p w14:paraId="7CC02C5C" w14:textId="77777777" w:rsidR="00BE47EA" w:rsidRPr="004F1EBC" w:rsidRDefault="00BE47EA" w:rsidP="00225723">
            <w:pPr>
              <w:pStyle w:val="TableBody"/>
            </w:pPr>
            <w:r w:rsidRPr="004F1EBC">
              <w:t>31 Mar</w:t>
            </w:r>
          </w:p>
        </w:tc>
        <w:tc>
          <w:tcPr>
            <w:tcW w:w="1066" w:type="dxa"/>
          </w:tcPr>
          <w:p w14:paraId="7372CACB" w14:textId="77777777" w:rsidR="00BE47EA" w:rsidRPr="004F1EBC" w:rsidRDefault="00BE47EA" w:rsidP="00225723">
            <w:pPr>
              <w:pStyle w:val="TableBody"/>
            </w:pPr>
            <w:r w:rsidRPr="004F1EBC">
              <w:t>JKL Ltd</w:t>
            </w:r>
          </w:p>
        </w:tc>
        <w:tc>
          <w:tcPr>
            <w:tcW w:w="1066" w:type="dxa"/>
          </w:tcPr>
          <w:p w14:paraId="15DAB3E0" w14:textId="77777777" w:rsidR="00BE47EA" w:rsidRPr="004F1EBC" w:rsidRDefault="00BE47EA" w:rsidP="00225723">
            <w:pPr>
              <w:pStyle w:val="TableBody"/>
              <w:jc w:val="center"/>
            </w:pPr>
            <w:r w:rsidRPr="004F1EBC">
              <w:t>4</w:t>
            </w:r>
          </w:p>
        </w:tc>
        <w:tc>
          <w:tcPr>
            <w:tcW w:w="954" w:type="dxa"/>
          </w:tcPr>
          <w:p w14:paraId="02336209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1,080</w:t>
            </w:r>
          </w:p>
        </w:tc>
        <w:tc>
          <w:tcPr>
            <w:tcW w:w="955" w:type="dxa"/>
          </w:tcPr>
          <w:p w14:paraId="08449597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180</w:t>
            </w:r>
          </w:p>
        </w:tc>
        <w:tc>
          <w:tcPr>
            <w:tcW w:w="955" w:type="dxa"/>
          </w:tcPr>
          <w:p w14:paraId="4A2B7CAD" w14:textId="77777777" w:rsidR="00BE47EA" w:rsidRPr="004F1EBC" w:rsidRDefault="00BE47EA" w:rsidP="00225723">
            <w:pPr>
              <w:pStyle w:val="TableBody"/>
              <w:tabs>
                <w:tab w:val="decimal" w:pos="540"/>
              </w:tabs>
              <w:rPr>
                <w:b/>
              </w:rPr>
            </w:pPr>
            <w:r w:rsidRPr="004F1EBC">
              <w:rPr>
                <w:b/>
              </w:rPr>
              <w:t>900</w:t>
            </w:r>
          </w:p>
        </w:tc>
        <w:tc>
          <w:tcPr>
            <w:tcW w:w="1417" w:type="dxa"/>
          </w:tcPr>
          <w:p w14:paraId="015AD9E0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  <w:r w:rsidRPr="004F1EBC">
              <w:t>400</w:t>
            </w:r>
          </w:p>
        </w:tc>
        <w:tc>
          <w:tcPr>
            <w:tcW w:w="1418" w:type="dxa"/>
          </w:tcPr>
          <w:p w14:paraId="1565132F" w14:textId="77777777" w:rsidR="00BE47EA" w:rsidRPr="004F1EBC" w:rsidRDefault="00BE47EA" w:rsidP="00225723">
            <w:pPr>
              <w:pStyle w:val="TableBody"/>
              <w:tabs>
                <w:tab w:val="decimal" w:pos="838"/>
              </w:tabs>
            </w:pPr>
            <w:r w:rsidRPr="004F1EBC">
              <w:t>500</w:t>
            </w:r>
          </w:p>
        </w:tc>
      </w:tr>
      <w:tr w:rsidR="00BE47EA" w:rsidRPr="004F1EBC" w14:paraId="55933563" w14:textId="77777777" w:rsidTr="00225723">
        <w:tc>
          <w:tcPr>
            <w:tcW w:w="1066" w:type="dxa"/>
          </w:tcPr>
          <w:p w14:paraId="7B770644" w14:textId="77777777" w:rsidR="00BE47EA" w:rsidRPr="004F1EBC" w:rsidRDefault="00BE47EA" w:rsidP="00225723">
            <w:pPr>
              <w:pStyle w:val="TableBody"/>
            </w:pPr>
          </w:p>
        </w:tc>
        <w:tc>
          <w:tcPr>
            <w:tcW w:w="1066" w:type="dxa"/>
          </w:tcPr>
          <w:p w14:paraId="203866ED" w14:textId="77777777" w:rsidR="00BE47EA" w:rsidRPr="004F1EBC" w:rsidRDefault="00BE47EA" w:rsidP="00225723">
            <w:pPr>
              <w:pStyle w:val="TableBody"/>
              <w:rPr>
                <w:b/>
              </w:rPr>
            </w:pPr>
            <w:r w:rsidRPr="004F1EBC">
              <w:rPr>
                <w:b/>
              </w:rPr>
              <w:t>Totals</w:t>
            </w:r>
          </w:p>
        </w:tc>
        <w:tc>
          <w:tcPr>
            <w:tcW w:w="1066" w:type="dxa"/>
          </w:tcPr>
          <w:p w14:paraId="2ED14E44" w14:textId="77777777" w:rsidR="00BE47EA" w:rsidRPr="001D0E28" w:rsidRDefault="00BE47EA" w:rsidP="00225723">
            <w:pPr>
              <w:pStyle w:val="TableBody"/>
              <w:jc w:val="center"/>
              <w:rPr>
                <w:b/>
                <w:bCs/>
              </w:rPr>
            </w:pPr>
          </w:p>
        </w:tc>
        <w:tc>
          <w:tcPr>
            <w:tcW w:w="954" w:type="dxa"/>
          </w:tcPr>
          <w:p w14:paraId="2EB45B13" w14:textId="77777777" w:rsidR="00BE47EA" w:rsidRPr="001D0E28" w:rsidRDefault="00BE47EA" w:rsidP="00225723">
            <w:pPr>
              <w:pStyle w:val="TableBody"/>
              <w:tabs>
                <w:tab w:val="decimal" w:pos="540"/>
              </w:tabs>
              <w:rPr>
                <w:b/>
                <w:bCs/>
              </w:rPr>
            </w:pPr>
            <w:r w:rsidRPr="001D0E28">
              <w:rPr>
                <w:b/>
                <w:bCs/>
              </w:rPr>
              <w:t>1,800</w:t>
            </w:r>
          </w:p>
        </w:tc>
        <w:tc>
          <w:tcPr>
            <w:tcW w:w="955" w:type="dxa"/>
          </w:tcPr>
          <w:p w14:paraId="5816AF9C" w14:textId="77777777" w:rsidR="00BE47EA" w:rsidRPr="001D0E28" w:rsidRDefault="00BE47EA" w:rsidP="00225723">
            <w:pPr>
              <w:pStyle w:val="TableBody"/>
              <w:tabs>
                <w:tab w:val="decimal" w:pos="540"/>
              </w:tabs>
              <w:rPr>
                <w:b/>
                <w:bCs/>
              </w:rPr>
            </w:pPr>
            <w:r w:rsidRPr="001D0E28">
              <w:rPr>
                <w:b/>
                <w:bCs/>
              </w:rPr>
              <w:t>300</w:t>
            </w:r>
          </w:p>
        </w:tc>
        <w:tc>
          <w:tcPr>
            <w:tcW w:w="955" w:type="dxa"/>
          </w:tcPr>
          <w:p w14:paraId="795BC6FD" w14:textId="77777777" w:rsidR="00BE47EA" w:rsidRPr="001D0E28" w:rsidRDefault="00BE47EA" w:rsidP="00225723">
            <w:pPr>
              <w:pStyle w:val="TableBody"/>
              <w:tabs>
                <w:tab w:val="decimal" w:pos="540"/>
              </w:tabs>
              <w:rPr>
                <w:b/>
                <w:bCs/>
              </w:rPr>
            </w:pPr>
            <w:r w:rsidRPr="001D0E28">
              <w:rPr>
                <w:b/>
                <w:bCs/>
              </w:rPr>
              <w:t>1,500</w:t>
            </w:r>
          </w:p>
        </w:tc>
        <w:tc>
          <w:tcPr>
            <w:tcW w:w="1417" w:type="dxa"/>
          </w:tcPr>
          <w:p w14:paraId="50EDD783" w14:textId="77777777" w:rsidR="00BE47EA" w:rsidRPr="001D0E28" w:rsidRDefault="00BE47EA" w:rsidP="00225723">
            <w:pPr>
              <w:pStyle w:val="TableBody"/>
              <w:tabs>
                <w:tab w:val="decimal" w:pos="838"/>
              </w:tabs>
              <w:rPr>
                <w:b/>
                <w:bCs/>
              </w:rPr>
            </w:pPr>
            <w:r w:rsidRPr="001D0E28">
              <w:rPr>
                <w:b/>
                <w:bCs/>
              </w:rPr>
              <w:t>800</w:t>
            </w:r>
          </w:p>
        </w:tc>
        <w:tc>
          <w:tcPr>
            <w:tcW w:w="1418" w:type="dxa"/>
          </w:tcPr>
          <w:p w14:paraId="4F71A351" w14:textId="77777777" w:rsidR="00BE47EA" w:rsidRPr="001D0E28" w:rsidRDefault="00BE47EA" w:rsidP="00225723">
            <w:pPr>
              <w:pStyle w:val="TableBody"/>
              <w:tabs>
                <w:tab w:val="decimal" w:pos="838"/>
              </w:tabs>
              <w:rPr>
                <w:b/>
                <w:bCs/>
              </w:rPr>
            </w:pPr>
            <w:r w:rsidRPr="001D0E28">
              <w:rPr>
                <w:b/>
                <w:bCs/>
              </w:rPr>
              <w:t>700</w:t>
            </w:r>
          </w:p>
        </w:tc>
      </w:tr>
    </w:tbl>
    <w:p w14:paraId="0B740470" w14:textId="77777777" w:rsidR="00BE47EA" w:rsidRPr="004F1EBC" w:rsidRDefault="00BE47EA" w:rsidP="00BE47EA">
      <w:pPr>
        <w:pStyle w:val="Body"/>
      </w:pPr>
    </w:p>
    <w:p w14:paraId="2F4199FD" w14:textId="1D7EEEF8" w:rsidR="00E50063" w:rsidRPr="00BE47EA" w:rsidRDefault="00E50063">
      <w:pPr>
        <w:rPr>
          <w:b/>
          <w:bCs/>
        </w:rPr>
      </w:pPr>
    </w:p>
    <w:sectPr w:rsidR="00E50063" w:rsidRPr="00BE4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D4E09"/>
    <w:multiLevelType w:val="multilevel"/>
    <w:tmpl w:val="A6D4C7C8"/>
    <w:styleLink w:val="QuestionsList1"/>
    <w:lvl w:ilvl="0">
      <w:start w:val="1"/>
      <w:numFmt w:val="decimal"/>
      <w:pStyle w:val="QuestionHead"/>
      <w:suff w:val="space"/>
      <w:lvlText w:val="%1"/>
      <w:lvlJc w:val="left"/>
      <w:pPr>
        <w:ind w:left="-851" w:firstLine="0"/>
      </w:pPr>
      <w:rPr>
        <w:rFonts w:hint="default"/>
        <w:b/>
        <w:i w:val="0"/>
        <w:color w:val="44546A" w:themeColor="text2"/>
        <w:sz w:val="32"/>
      </w:rPr>
    </w:lvl>
    <w:lvl w:ilvl="1">
      <w:start w:val="1"/>
      <w:numFmt w:val="none"/>
      <w:pStyle w:val="SubHead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none"/>
      <w:pStyle w:val="SubSubHead"/>
      <w:suff w:val="nothing"/>
      <w:lvlText w:val=""/>
      <w:lvlJc w:val="left"/>
      <w:pPr>
        <w:ind w:left="0" w:firstLine="0"/>
      </w:pPr>
      <w:rPr>
        <w:rFonts w:hint="default"/>
        <w:color w:val="752864"/>
      </w:rPr>
    </w:lvl>
    <w:lvl w:ilvl="3">
      <w:start w:val="1"/>
      <w:numFmt w:val="none"/>
      <w:pStyle w:val="Body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4">
      <w:start w:val="1"/>
      <w:numFmt w:val="lowerLetter"/>
      <w:pStyle w:val="ListPara1"/>
      <w:lvlText w:val="(%5)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</w:rPr>
    </w:lvl>
    <w:lvl w:ilvl="5">
      <w:start w:val="1"/>
      <w:numFmt w:val="none"/>
      <w:pStyle w:val="ListText1"/>
      <w:suff w:val="nothing"/>
      <w:lvlText w:val=""/>
      <w:lvlJc w:val="left"/>
      <w:pPr>
        <w:ind w:left="567" w:firstLine="0"/>
      </w:pPr>
      <w:rPr>
        <w:rFonts w:hint="default"/>
      </w:rPr>
    </w:lvl>
    <w:lvl w:ilvl="6">
      <w:start w:val="1"/>
      <w:numFmt w:val="lowerRoman"/>
      <w:pStyle w:val="ListPara2"/>
      <w:lvlText w:val="(%7)"/>
      <w:lvlJc w:val="left"/>
      <w:pPr>
        <w:tabs>
          <w:tab w:val="num" w:pos="1134"/>
        </w:tabs>
        <w:ind w:left="1134" w:hanging="567"/>
      </w:pPr>
      <w:rPr>
        <w:rFonts w:hint="default"/>
        <w:b/>
        <w:i w:val="0"/>
      </w:rPr>
    </w:lvl>
    <w:lvl w:ilvl="7">
      <w:start w:val="1"/>
      <w:numFmt w:val="none"/>
      <w:pStyle w:val="ListText2"/>
      <w:suff w:val="nothing"/>
      <w:lvlText w:val=""/>
      <w:lvlJc w:val="left"/>
      <w:pPr>
        <w:ind w:left="1134" w:firstLine="0"/>
      </w:pPr>
      <w:rPr>
        <w:rFonts w:hint="default"/>
      </w:rPr>
    </w:lvl>
    <w:lvl w:ilvl="8">
      <w:start w:val="1"/>
      <w:numFmt w:val="bullet"/>
      <w:pStyle w:val="ListPara3"/>
      <w:lvlText w:val="–"/>
      <w:lvlJc w:val="left"/>
      <w:pPr>
        <w:tabs>
          <w:tab w:val="num" w:pos="1701"/>
        </w:tabs>
        <w:ind w:left="1701" w:hanging="567"/>
      </w:pPr>
      <w:rPr>
        <w:rFonts w:ascii="Calibri" w:hAnsi="Calibri" w:hint="default"/>
        <w:b/>
        <w:i w:val="0"/>
        <w:color w:val="auto"/>
      </w:rPr>
    </w:lvl>
  </w:abstractNum>
  <w:abstractNum w:abstractNumId="1" w15:restartNumberingAfterBreak="0">
    <w:nsid w:val="7025149A"/>
    <w:multiLevelType w:val="multilevel"/>
    <w:tmpl w:val="A6D4C7C8"/>
    <w:numStyleLink w:val="QuestionsList1"/>
  </w:abstractNum>
  <w:num w:numId="1" w16cid:durableId="82066959">
    <w:abstractNumId w:val="0"/>
  </w:num>
  <w:num w:numId="2" w16cid:durableId="1116410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EA"/>
    <w:rsid w:val="00A513A2"/>
    <w:rsid w:val="00BE47EA"/>
    <w:rsid w:val="00E5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EAC64"/>
  <w15:chartTrackingRefBased/>
  <w15:docId w15:val="{4648D900-01C9-4440-B9D4-4F260A831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qFormat/>
    <w:rsid w:val="00BE47EA"/>
    <w:pPr>
      <w:numPr>
        <w:ilvl w:val="3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QuestionHead">
    <w:name w:val="QuestionHead"/>
    <w:next w:val="Body"/>
    <w:unhideWhenUsed/>
    <w:qFormat/>
    <w:rsid w:val="00BE47EA"/>
    <w:pPr>
      <w:keepNext/>
      <w:numPr>
        <w:numId w:val="2"/>
      </w:numPr>
      <w:pBdr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1" w:color="FFFFFF" w:themeColor="background1"/>
      </w:pBdr>
      <w:shd w:val="clear" w:color="auto" w:fill="D0F8E5"/>
      <w:tabs>
        <w:tab w:val="right" w:pos="8789"/>
      </w:tabs>
      <w:spacing w:before="360" w:after="120" w:line="240" w:lineRule="auto"/>
      <w:jc w:val="both"/>
    </w:pPr>
    <w:rPr>
      <w:rFonts w:ascii="Calibri" w:eastAsiaTheme="minorEastAsia" w:hAnsi="Calibri"/>
      <w:b/>
      <w:smallCaps/>
      <w:color w:val="006778"/>
      <w:sz w:val="32"/>
      <w:lang w:eastAsia="en-GB"/>
    </w:rPr>
  </w:style>
  <w:style w:type="paragraph" w:customStyle="1" w:styleId="ListPara1">
    <w:name w:val="ListPara1"/>
    <w:basedOn w:val="Body"/>
    <w:qFormat/>
    <w:rsid w:val="00BE47EA"/>
    <w:pPr>
      <w:numPr>
        <w:ilvl w:val="4"/>
      </w:numPr>
    </w:pPr>
  </w:style>
  <w:style w:type="paragraph" w:customStyle="1" w:styleId="ListPara2">
    <w:name w:val="ListPara2"/>
    <w:qFormat/>
    <w:rsid w:val="00BE47EA"/>
    <w:pPr>
      <w:numPr>
        <w:ilvl w:val="6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Para3">
    <w:name w:val="ListPara3"/>
    <w:qFormat/>
    <w:rsid w:val="00BE47EA"/>
    <w:pPr>
      <w:numPr>
        <w:ilvl w:val="8"/>
        <w:numId w:val="2"/>
      </w:numPr>
      <w:tabs>
        <w:tab w:val="right" w:pos="8789"/>
      </w:tabs>
      <w:spacing w:after="120" w:line="240" w:lineRule="auto"/>
      <w:jc w:val="both"/>
    </w:pPr>
    <w:rPr>
      <w:rFonts w:ascii="Calibri" w:eastAsiaTheme="minorEastAsia" w:hAnsi="Calibri"/>
      <w:lang w:eastAsia="en-GB"/>
    </w:rPr>
  </w:style>
  <w:style w:type="paragraph" w:customStyle="1" w:styleId="ListText1">
    <w:name w:val="ListText1"/>
    <w:basedOn w:val="Body"/>
    <w:qFormat/>
    <w:rsid w:val="00BE47EA"/>
    <w:pPr>
      <w:numPr>
        <w:ilvl w:val="5"/>
      </w:numPr>
    </w:pPr>
  </w:style>
  <w:style w:type="paragraph" w:customStyle="1" w:styleId="ListText2">
    <w:name w:val="ListText2"/>
    <w:basedOn w:val="ListText1"/>
    <w:qFormat/>
    <w:rsid w:val="00BE47EA"/>
    <w:pPr>
      <w:numPr>
        <w:ilvl w:val="7"/>
      </w:numPr>
    </w:pPr>
  </w:style>
  <w:style w:type="paragraph" w:customStyle="1" w:styleId="SubHead">
    <w:name w:val="SubHead"/>
    <w:next w:val="Body"/>
    <w:qFormat/>
    <w:rsid w:val="00BE47EA"/>
    <w:pPr>
      <w:keepNext/>
      <w:numPr>
        <w:ilvl w:val="1"/>
        <w:numId w:val="2"/>
      </w:numPr>
      <w:tabs>
        <w:tab w:val="right" w:pos="8789"/>
      </w:tabs>
      <w:spacing w:before="240" w:after="120" w:line="240" w:lineRule="auto"/>
      <w:jc w:val="both"/>
    </w:pPr>
    <w:rPr>
      <w:rFonts w:ascii="Calibri" w:eastAsiaTheme="minorEastAsia" w:hAnsi="Calibri"/>
      <w:b/>
      <w:color w:val="000000" w:themeColor="text1"/>
      <w:sz w:val="24"/>
      <w:szCs w:val="24"/>
      <w:lang w:eastAsia="en-GB"/>
    </w:rPr>
  </w:style>
  <w:style w:type="paragraph" w:customStyle="1" w:styleId="SubSubHead">
    <w:name w:val="SubSubHead"/>
    <w:basedOn w:val="SubHead"/>
    <w:next w:val="Body"/>
    <w:qFormat/>
    <w:rsid w:val="00BE47EA"/>
    <w:pPr>
      <w:numPr>
        <w:ilvl w:val="2"/>
      </w:numPr>
    </w:pPr>
    <w:rPr>
      <w:b w:val="0"/>
      <w:i/>
      <w:sz w:val="22"/>
    </w:rPr>
  </w:style>
  <w:style w:type="numbering" w:customStyle="1" w:styleId="QuestionsList1">
    <w:name w:val="QuestionsList1"/>
    <w:uiPriority w:val="99"/>
    <w:rsid w:val="00BE47EA"/>
    <w:pPr>
      <w:numPr>
        <w:numId w:val="1"/>
      </w:numPr>
    </w:pPr>
  </w:style>
  <w:style w:type="paragraph" w:customStyle="1" w:styleId="TableBody">
    <w:name w:val="TableBody"/>
    <w:qFormat/>
    <w:rsid w:val="00BE47EA"/>
    <w:pPr>
      <w:spacing w:before="40" w:after="40" w:line="240" w:lineRule="auto"/>
      <w:jc w:val="both"/>
    </w:pPr>
    <w:rPr>
      <w:rFonts w:ascii="Calibri" w:eastAsiaTheme="minorEastAsia" w:hAnsi="Calibri"/>
      <w:sz w:val="21"/>
      <w:lang w:eastAsia="en-GB"/>
    </w:rPr>
  </w:style>
  <w:style w:type="paragraph" w:customStyle="1" w:styleId="TableHead">
    <w:name w:val="TableHead"/>
    <w:basedOn w:val="TableBody"/>
    <w:qFormat/>
    <w:rsid w:val="00BE47EA"/>
    <w:pPr>
      <w:keepNext/>
    </w:pPr>
    <w:rPr>
      <w:b/>
      <w:color w:val="FFFFFF" w:themeColor="background1"/>
    </w:rPr>
  </w:style>
  <w:style w:type="table" w:customStyle="1" w:styleId="AATProformaTable">
    <w:name w:val="AATProformaTable"/>
    <w:basedOn w:val="TableNormal"/>
    <w:uiPriority w:val="99"/>
    <w:rsid w:val="00BE47EA"/>
    <w:pPr>
      <w:spacing w:after="0" w:line="240" w:lineRule="auto"/>
    </w:pPr>
    <w:rPr>
      <w:rFonts w:eastAsiaTheme="minorEastAsia"/>
      <w:lang w:eastAsia="en-GB"/>
    </w:rPr>
    <w:tblPr>
      <w:tblBorders>
        <w:top w:val="single" w:sz="12" w:space="0" w:color="4472C4" w:themeColor="accent1"/>
        <w:left w:val="single" w:sz="12" w:space="0" w:color="4472C4" w:themeColor="accent1"/>
        <w:bottom w:val="single" w:sz="12" w:space="0" w:color="4472C4" w:themeColor="accent1"/>
        <w:right w:val="single" w:sz="12" w:space="0" w:color="4472C4" w:themeColor="accent1"/>
        <w:insideH w:val="single" w:sz="6" w:space="0" w:color="8EAADB" w:themeColor="accent1" w:themeTint="99"/>
        <w:insideV w:val="single" w:sz="6" w:space="0" w:color="8EAADB" w:themeColor="accent1" w:themeTint="99"/>
      </w:tblBorders>
      <w:tblCellMar>
        <w:left w:w="57" w:type="dxa"/>
        <w:right w:w="57" w:type="dxa"/>
      </w:tblCellMar>
    </w:tblPr>
    <w:trPr>
      <w:cantSplit/>
    </w:trPr>
    <w:tblStylePr w:type="firstRow">
      <w:tblPr/>
      <w:tcPr>
        <w:tcBorders>
          <w:top w:val="single" w:sz="12" w:space="0" w:color="4472C4" w:themeColor="accent1"/>
          <w:left w:val="single" w:sz="12" w:space="0" w:color="4472C4" w:themeColor="accent1"/>
          <w:bottom w:val="nil"/>
          <w:right w:val="single" w:sz="12" w:space="0" w:color="4472C4" w:themeColor="accent1"/>
          <w:insideH w:val="nil"/>
          <w:insideV w:val="nil"/>
          <w:tl2br w:val="nil"/>
          <w:tr2bl w:val="nil"/>
        </w:tcBorders>
        <w:shd w:val="clear" w:color="auto" w:fill="4472C4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Graham</dc:creator>
  <cp:keywords/>
  <dc:description/>
  <cp:lastModifiedBy>jason evans</cp:lastModifiedBy>
  <cp:revision>2</cp:revision>
  <dcterms:created xsi:type="dcterms:W3CDTF">2023-05-12T10:45:00Z</dcterms:created>
  <dcterms:modified xsi:type="dcterms:W3CDTF">2023-05-12T10:45:00Z</dcterms:modified>
</cp:coreProperties>
</file>