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1370" w14:textId="2F9B6698" w:rsidR="00313FD2" w:rsidRPr="00C04E6A" w:rsidRDefault="00C04E6A">
      <w:pPr>
        <w:rPr>
          <w:b/>
          <w:bCs/>
          <w:lang w:val="en-US"/>
        </w:rPr>
      </w:pPr>
      <w:r w:rsidRPr="00C04E6A">
        <w:rPr>
          <w:b/>
          <w:bCs/>
          <w:lang w:val="en-US"/>
        </w:rPr>
        <w:t xml:space="preserve">The sales </w:t>
      </w:r>
      <w:proofErr w:type="gramStart"/>
      <w:r w:rsidRPr="00C04E6A">
        <w:rPr>
          <w:b/>
          <w:bCs/>
          <w:lang w:val="en-US"/>
        </w:rPr>
        <w:t>day book</w:t>
      </w:r>
      <w:proofErr w:type="gramEnd"/>
    </w:p>
    <w:p w14:paraId="24121C14" w14:textId="7C6F49CF" w:rsidR="00C04E6A" w:rsidRPr="00C04E6A" w:rsidRDefault="00C04E6A" w:rsidP="00C04E6A">
      <w:pPr>
        <w:pStyle w:val="Body"/>
        <w:keepNext/>
        <w:rPr>
          <w:bCs/>
        </w:rPr>
      </w:pPr>
      <w:r w:rsidRPr="00C04E6A">
        <w:rPr>
          <w:bCs/>
        </w:rPr>
        <w:t>An example of a sales day book:</w:t>
      </w:r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1253"/>
        <w:gridCol w:w="1368"/>
        <w:gridCol w:w="1359"/>
        <w:gridCol w:w="1447"/>
        <w:gridCol w:w="1126"/>
        <w:gridCol w:w="1126"/>
        <w:gridCol w:w="1127"/>
      </w:tblGrid>
      <w:tr w:rsidR="00C04E6A" w:rsidRPr="00DE2531" w14:paraId="5356FF76" w14:textId="77777777" w:rsidTr="00EA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3" w:type="dxa"/>
          </w:tcPr>
          <w:p w14:paraId="65CBF4B2" w14:textId="77777777" w:rsidR="00C04E6A" w:rsidRPr="00DE2531" w:rsidRDefault="00C04E6A" w:rsidP="00EA3F70">
            <w:pPr>
              <w:pStyle w:val="TableHead"/>
            </w:pPr>
            <w:r w:rsidRPr="00DE2531">
              <w:t>Date</w:t>
            </w:r>
          </w:p>
        </w:tc>
        <w:tc>
          <w:tcPr>
            <w:tcW w:w="1368" w:type="dxa"/>
            <w:hideMark/>
          </w:tcPr>
          <w:p w14:paraId="5C772ACD" w14:textId="77777777" w:rsidR="00C04E6A" w:rsidRPr="00DE2531" w:rsidRDefault="00C04E6A" w:rsidP="00EA3F70">
            <w:pPr>
              <w:pStyle w:val="TableHead"/>
            </w:pPr>
            <w:r w:rsidRPr="00DE2531">
              <w:t>Invoice number</w:t>
            </w:r>
          </w:p>
        </w:tc>
        <w:tc>
          <w:tcPr>
            <w:tcW w:w="1359" w:type="dxa"/>
            <w:hideMark/>
          </w:tcPr>
          <w:p w14:paraId="62B1E804" w14:textId="77777777" w:rsidR="00C04E6A" w:rsidRPr="00DE2531" w:rsidRDefault="00C04E6A" w:rsidP="00EA3F70">
            <w:pPr>
              <w:pStyle w:val="TableHead"/>
            </w:pPr>
            <w:r w:rsidRPr="00DE2531">
              <w:t>Customer code</w:t>
            </w:r>
          </w:p>
        </w:tc>
        <w:tc>
          <w:tcPr>
            <w:tcW w:w="1447" w:type="dxa"/>
            <w:hideMark/>
          </w:tcPr>
          <w:p w14:paraId="5E1ED0B8" w14:textId="77777777" w:rsidR="00C04E6A" w:rsidRPr="00DE2531" w:rsidRDefault="00C04E6A" w:rsidP="00EA3F70">
            <w:pPr>
              <w:pStyle w:val="TableHead"/>
            </w:pPr>
            <w:r>
              <w:t>Customer n</w:t>
            </w:r>
            <w:r w:rsidRPr="00DE2531">
              <w:t>ame</w:t>
            </w:r>
          </w:p>
        </w:tc>
        <w:tc>
          <w:tcPr>
            <w:tcW w:w="1126" w:type="dxa"/>
            <w:hideMark/>
          </w:tcPr>
          <w:p w14:paraId="5F3A18EE" w14:textId="77777777" w:rsidR="00C04E6A" w:rsidRPr="00DE2531" w:rsidRDefault="00C04E6A" w:rsidP="00EA3F70">
            <w:pPr>
              <w:pStyle w:val="TableHead"/>
              <w:jc w:val="center"/>
            </w:pPr>
            <w:r w:rsidRPr="00DE2531">
              <w:t>Invoice total £</w:t>
            </w:r>
          </w:p>
        </w:tc>
        <w:tc>
          <w:tcPr>
            <w:tcW w:w="1126" w:type="dxa"/>
            <w:hideMark/>
          </w:tcPr>
          <w:p w14:paraId="52DB467D" w14:textId="77777777" w:rsidR="00C04E6A" w:rsidRPr="00DE2531" w:rsidRDefault="00C04E6A" w:rsidP="00EA3F70">
            <w:pPr>
              <w:pStyle w:val="TableHead"/>
              <w:jc w:val="center"/>
            </w:pPr>
            <w:r w:rsidRPr="00DE2531">
              <w:t>VAT £</w:t>
            </w:r>
          </w:p>
        </w:tc>
        <w:tc>
          <w:tcPr>
            <w:tcW w:w="1127" w:type="dxa"/>
            <w:hideMark/>
          </w:tcPr>
          <w:p w14:paraId="412C160E" w14:textId="77777777" w:rsidR="00C04E6A" w:rsidRPr="00DE2531" w:rsidRDefault="00C04E6A" w:rsidP="00EA3F70">
            <w:pPr>
              <w:pStyle w:val="TableHead"/>
              <w:jc w:val="center"/>
            </w:pPr>
            <w:r w:rsidRPr="00DE2531">
              <w:t>Net £</w:t>
            </w:r>
          </w:p>
        </w:tc>
      </w:tr>
      <w:tr w:rsidR="00C04E6A" w:rsidRPr="00DE2531" w14:paraId="1ECB6642" w14:textId="77777777" w:rsidTr="00EA3F70">
        <w:tc>
          <w:tcPr>
            <w:tcW w:w="1253" w:type="dxa"/>
            <w:hideMark/>
          </w:tcPr>
          <w:p w14:paraId="4B932CAE" w14:textId="77777777" w:rsidR="00C04E6A" w:rsidRPr="00DE2531" w:rsidRDefault="00C04E6A" w:rsidP="00EA3F70">
            <w:pPr>
              <w:pStyle w:val="TableBody"/>
              <w:keepNext/>
            </w:pPr>
            <w:r>
              <w:t>1 July</w:t>
            </w:r>
          </w:p>
        </w:tc>
        <w:tc>
          <w:tcPr>
            <w:tcW w:w="1368" w:type="dxa"/>
            <w:hideMark/>
          </w:tcPr>
          <w:p w14:paraId="6825EEBE" w14:textId="77777777" w:rsidR="00C04E6A" w:rsidRPr="00DE2531" w:rsidRDefault="00C04E6A" w:rsidP="00EA3F70">
            <w:pPr>
              <w:pStyle w:val="TableBody"/>
            </w:pPr>
            <w:r w:rsidRPr="00DE2531">
              <w:t>1001</w:t>
            </w:r>
          </w:p>
        </w:tc>
        <w:tc>
          <w:tcPr>
            <w:tcW w:w="1359" w:type="dxa"/>
            <w:hideMark/>
          </w:tcPr>
          <w:p w14:paraId="1244DF92" w14:textId="77777777" w:rsidR="00C04E6A" w:rsidRPr="00DE2531" w:rsidRDefault="00C04E6A" w:rsidP="00EA3F70">
            <w:pPr>
              <w:pStyle w:val="TableBody"/>
            </w:pPr>
            <w:r w:rsidRPr="00DE2531">
              <w:t>ST908</w:t>
            </w:r>
          </w:p>
        </w:tc>
        <w:tc>
          <w:tcPr>
            <w:tcW w:w="1447" w:type="dxa"/>
            <w:hideMark/>
          </w:tcPr>
          <w:p w14:paraId="774190C5" w14:textId="77777777" w:rsidR="00C04E6A" w:rsidRPr="00DE2531" w:rsidRDefault="00C04E6A" w:rsidP="00EA3F70">
            <w:pPr>
              <w:pStyle w:val="TableBody"/>
            </w:pPr>
            <w:r w:rsidRPr="00DE2531">
              <w:t>Steve Tank</w:t>
            </w:r>
          </w:p>
        </w:tc>
        <w:tc>
          <w:tcPr>
            <w:tcW w:w="1126" w:type="dxa"/>
            <w:hideMark/>
          </w:tcPr>
          <w:p w14:paraId="295BC044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480</w:t>
            </w:r>
          </w:p>
        </w:tc>
        <w:tc>
          <w:tcPr>
            <w:tcW w:w="1126" w:type="dxa"/>
            <w:hideMark/>
          </w:tcPr>
          <w:p w14:paraId="3FEBBD5B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80</w:t>
            </w:r>
          </w:p>
        </w:tc>
        <w:tc>
          <w:tcPr>
            <w:tcW w:w="1127" w:type="dxa"/>
            <w:hideMark/>
          </w:tcPr>
          <w:p w14:paraId="51CC1EEE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400</w:t>
            </w:r>
          </w:p>
        </w:tc>
      </w:tr>
      <w:tr w:rsidR="00C04E6A" w:rsidRPr="00DE2531" w14:paraId="5A3C60AC" w14:textId="77777777" w:rsidTr="00EA3F70">
        <w:tc>
          <w:tcPr>
            <w:tcW w:w="1253" w:type="dxa"/>
            <w:hideMark/>
          </w:tcPr>
          <w:p w14:paraId="7C1EA4A0" w14:textId="77777777" w:rsidR="00C04E6A" w:rsidRPr="00DE2531" w:rsidRDefault="00C04E6A" w:rsidP="00EA3F70">
            <w:pPr>
              <w:pStyle w:val="TableBody"/>
              <w:keepNext/>
            </w:pPr>
            <w:r>
              <w:t>1 July</w:t>
            </w:r>
          </w:p>
        </w:tc>
        <w:tc>
          <w:tcPr>
            <w:tcW w:w="1368" w:type="dxa"/>
            <w:hideMark/>
          </w:tcPr>
          <w:p w14:paraId="3E9E863C" w14:textId="77777777" w:rsidR="00C04E6A" w:rsidRPr="00DE2531" w:rsidRDefault="00C04E6A" w:rsidP="00EA3F70">
            <w:pPr>
              <w:pStyle w:val="TableBody"/>
            </w:pPr>
            <w:r w:rsidRPr="00DE2531">
              <w:t>1002</w:t>
            </w:r>
          </w:p>
        </w:tc>
        <w:tc>
          <w:tcPr>
            <w:tcW w:w="1359" w:type="dxa"/>
            <w:hideMark/>
          </w:tcPr>
          <w:p w14:paraId="62908C3A" w14:textId="77777777" w:rsidR="00C04E6A" w:rsidRPr="00DE2531" w:rsidRDefault="00C04E6A" w:rsidP="00EA3F70">
            <w:pPr>
              <w:pStyle w:val="TableBody"/>
            </w:pPr>
            <w:r w:rsidRPr="00DE2531">
              <w:t>VB01</w:t>
            </w:r>
          </w:p>
        </w:tc>
        <w:tc>
          <w:tcPr>
            <w:tcW w:w="1447" w:type="dxa"/>
            <w:hideMark/>
          </w:tcPr>
          <w:p w14:paraId="5E608481" w14:textId="77777777" w:rsidR="00C04E6A" w:rsidRPr="00DE2531" w:rsidRDefault="00C04E6A" w:rsidP="00EA3F70">
            <w:pPr>
              <w:pStyle w:val="TableBody"/>
            </w:pPr>
            <w:r w:rsidRPr="00DE2531">
              <w:t>Via Bennett</w:t>
            </w:r>
          </w:p>
        </w:tc>
        <w:tc>
          <w:tcPr>
            <w:tcW w:w="1126" w:type="dxa"/>
            <w:hideMark/>
          </w:tcPr>
          <w:p w14:paraId="37C8373C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60</w:t>
            </w:r>
          </w:p>
        </w:tc>
        <w:tc>
          <w:tcPr>
            <w:tcW w:w="1126" w:type="dxa"/>
            <w:hideMark/>
          </w:tcPr>
          <w:p w14:paraId="16FBC1A1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10</w:t>
            </w:r>
          </w:p>
        </w:tc>
        <w:tc>
          <w:tcPr>
            <w:tcW w:w="1127" w:type="dxa"/>
            <w:hideMark/>
          </w:tcPr>
          <w:p w14:paraId="5340063E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50</w:t>
            </w:r>
          </w:p>
        </w:tc>
      </w:tr>
      <w:tr w:rsidR="00C04E6A" w:rsidRPr="00DE2531" w14:paraId="2CB61CB4" w14:textId="77777777" w:rsidTr="00EA3F70">
        <w:tc>
          <w:tcPr>
            <w:tcW w:w="1253" w:type="dxa"/>
            <w:hideMark/>
          </w:tcPr>
          <w:p w14:paraId="595592C1" w14:textId="77777777" w:rsidR="00C04E6A" w:rsidRPr="00DE2531" w:rsidRDefault="00C04E6A" w:rsidP="00EA3F70">
            <w:pPr>
              <w:pStyle w:val="TableBody"/>
              <w:keepNext/>
            </w:pPr>
            <w:r>
              <w:t>1 July</w:t>
            </w:r>
          </w:p>
        </w:tc>
        <w:tc>
          <w:tcPr>
            <w:tcW w:w="1368" w:type="dxa"/>
            <w:hideMark/>
          </w:tcPr>
          <w:p w14:paraId="42EBE203" w14:textId="77777777" w:rsidR="00C04E6A" w:rsidRPr="00DE2531" w:rsidRDefault="00C04E6A" w:rsidP="00EA3F70">
            <w:pPr>
              <w:pStyle w:val="TableBody"/>
            </w:pPr>
            <w:r w:rsidRPr="00DE2531">
              <w:t>1003</w:t>
            </w:r>
          </w:p>
        </w:tc>
        <w:tc>
          <w:tcPr>
            <w:tcW w:w="1359" w:type="dxa"/>
            <w:hideMark/>
          </w:tcPr>
          <w:p w14:paraId="6E4A5624" w14:textId="77777777" w:rsidR="00C04E6A" w:rsidRPr="00DE2531" w:rsidRDefault="00C04E6A" w:rsidP="00EA3F70">
            <w:pPr>
              <w:pStyle w:val="TableBody"/>
            </w:pPr>
            <w:r w:rsidRPr="00DE2531">
              <w:t>GG62</w:t>
            </w:r>
          </w:p>
        </w:tc>
        <w:tc>
          <w:tcPr>
            <w:tcW w:w="1447" w:type="dxa"/>
            <w:hideMark/>
          </w:tcPr>
          <w:p w14:paraId="34D7A71A" w14:textId="77777777" w:rsidR="00C04E6A" w:rsidRPr="00DE2531" w:rsidRDefault="00C04E6A" w:rsidP="00EA3F70">
            <w:pPr>
              <w:pStyle w:val="TableBody"/>
            </w:pPr>
            <w:r w:rsidRPr="00DE2531">
              <w:t xml:space="preserve">Gio </w:t>
            </w:r>
            <w:proofErr w:type="spellStart"/>
            <w:r w:rsidRPr="00DE2531">
              <w:t>Gio</w:t>
            </w:r>
            <w:proofErr w:type="spellEnd"/>
          </w:p>
        </w:tc>
        <w:tc>
          <w:tcPr>
            <w:tcW w:w="1126" w:type="dxa"/>
            <w:hideMark/>
          </w:tcPr>
          <w:p w14:paraId="50326C62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240</w:t>
            </w:r>
          </w:p>
        </w:tc>
        <w:tc>
          <w:tcPr>
            <w:tcW w:w="1126" w:type="dxa"/>
            <w:hideMark/>
          </w:tcPr>
          <w:p w14:paraId="3974C092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40</w:t>
            </w:r>
          </w:p>
        </w:tc>
        <w:tc>
          <w:tcPr>
            <w:tcW w:w="1127" w:type="dxa"/>
            <w:hideMark/>
          </w:tcPr>
          <w:p w14:paraId="4F0C7A21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200</w:t>
            </w:r>
          </w:p>
        </w:tc>
      </w:tr>
      <w:tr w:rsidR="00C04E6A" w:rsidRPr="00DE2531" w14:paraId="5300EFC9" w14:textId="77777777" w:rsidTr="00EA3F70">
        <w:tc>
          <w:tcPr>
            <w:tcW w:w="1253" w:type="dxa"/>
            <w:hideMark/>
          </w:tcPr>
          <w:p w14:paraId="617801A0" w14:textId="77777777" w:rsidR="00C04E6A" w:rsidRPr="00DE2531" w:rsidRDefault="00C04E6A" w:rsidP="00EA3F70">
            <w:pPr>
              <w:pStyle w:val="TableBody"/>
              <w:keepNext/>
            </w:pPr>
            <w:r>
              <w:t>2 July</w:t>
            </w:r>
          </w:p>
        </w:tc>
        <w:tc>
          <w:tcPr>
            <w:tcW w:w="1368" w:type="dxa"/>
            <w:hideMark/>
          </w:tcPr>
          <w:p w14:paraId="53E347F7" w14:textId="77777777" w:rsidR="00C04E6A" w:rsidRPr="00DE2531" w:rsidRDefault="00C04E6A" w:rsidP="00EA3F70">
            <w:pPr>
              <w:pStyle w:val="TableBody"/>
            </w:pPr>
            <w:r w:rsidRPr="00DE2531">
              <w:t>1004</w:t>
            </w:r>
          </w:p>
        </w:tc>
        <w:tc>
          <w:tcPr>
            <w:tcW w:w="1359" w:type="dxa"/>
            <w:hideMark/>
          </w:tcPr>
          <w:p w14:paraId="514CBDB3" w14:textId="77777777" w:rsidR="00C04E6A" w:rsidRPr="00DE2531" w:rsidRDefault="00C04E6A" w:rsidP="00EA3F70">
            <w:pPr>
              <w:pStyle w:val="TableBody"/>
            </w:pPr>
            <w:r w:rsidRPr="00DE2531">
              <w:t>L</w:t>
            </w:r>
            <w:r>
              <w:t>Z</w:t>
            </w:r>
            <w:r w:rsidRPr="00DE2531">
              <w:t>1</w:t>
            </w:r>
          </w:p>
        </w:tc>
        <w:tc>
          <w:tcPr>
            <w:tcW w:w="1447" w:type="dxa"/>
            <w:hideMark/>
          </w:tcPr>
          <w:p w14:paraId="0816563F" w14:textId="77777777" w:rsidR="00C04E6A" w:rsidRPr="00DE2531" w:rsidRDefault="00C04E6A" w:rsidP="00EA3F70">
            <w:pPr>
              <w:pStyle w:val="TableBody"/>
            </w:pPr>
            <w:r w:rsidRPr="00DE2531">
              <w:t xml:space="preserve">Lee </w:t>
            </w:r>
            <w:r>
              <w:t>Z</w:t>
            </w:r>
            <w:r w:rsidRPr="00DE2531">
              <w:t>ack</w:t>
            </w:r>
          </w:p>
        </w:tc>
        <w:tc>
          <w:tcPr>
            <w:tcW w:w="1126" w:type="dxa"/>
            <w:hideMark/>
          </w:tcPr>
          <w:p w14:paraId="5BF756AC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960</w:t>
            </w:r>
          </w:p>
        </w:tc>
        <w:tc>
          <w:tcPr>
            <w:tcW w:w="1126" w:type="dxa"/>
            <w:hideMark/>
          </w:tcPr>
          <w:p w14:paraId="3AC4EFA2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160</w:t>
            </w:r>
          </w:p>
        </w:tc>
        <w:tc>
          <w:tcPr>
            <w:tcW w:w="1127" w:type="dxa"/>
            <w:hideMark/>
          </w:tcPr>
          <w:p w14:paraId="3029E9F4" w14:textId="77777777" w:rsidR="00C04E6A" w:rsidRPr="00DE2531" w:rsidRDefault="00C04E6A" w:rsidP="00EA3F70">
            <w:pPr>
              <w:pStyle w:val="TableBody"/>
              <w:tabs>
                <w:tab w:val="decimal" w:pos="620"/>
              </w:tabs>
            </w:pPr>
            <w:r w:rsidRPr="00DE2531">
              <w:t>800</w:t>
            </w:r>
          </w:p>
        </w:tc>
      </w:tr>
    </w:tbl>
    <w:p w14:paraId="65FBCA0F" w14:textId="77777777" w:rsidR="00C04E6A" w:rsidRPr="00C04E6A" w:rsidRDefault="00C04E6A" w:rsidP="00C04E6A">
      <w:pPr>
        <w:pStyle w:val="Body"/>
        <w:spacing w:before="120"/>
        <w:rPr>
          <w:color w:val="000000" w:themeColor="text1"/>
        </w:rPr>
      </w:pPr>
      <w:r w:rsidRPr="00C04E6A">
        <w:rPr>
          <w:color w:val="000000" w:themeColor="text1"/>
        </w:rPr>
        <w:t>The transaction amounts shown are:</w:t>
      </w:r>
    </w:p>
    <w:p w14:paraId="07838BB4" w14:textId="77777777" w:rsidR="00C04E6A" w:rsidRPr="00C04E6A" w:rsidRDefault="00C04E6A" w:rsidP="00C04E6A">
      <w:pPr>
        <w:pStyle w:val="Bullet1"/>
        <w:numPr>
          <w:ilvl w:val="0"/>
          <w:numId w:val="5"/>
        </w:numPr>
        <w:rPr>
          <w:color w:val="000000" w:themeColor="text1"/>
        </w:rPr>
      </w:pPr>
      <w:r w:rsidRPr="00C04E6A">
        <w:rPr>
          <w:color w:val="000000" w:themeColor="text1"/>
        </w:rPr>
        <w:t xml:space="preserve">The </w:t>
      </w:r>
      <w:r w:rsidRPr="00C04E6A">
        <w:rPr>
          <w:b/>
          <w:color w:val="000000" w:themeColor="text1"/>
        </w:rPr>
        <w:t>Gross invoice total</w:t>
      </w:r>
      <w:r w:rsidRPr="00C04E6A">
        <w:rPr>
          <w:color w:val="000000" w:themeColor="text1"/>
        </w:rPr>
        <w:t xml:space="preserve"> </w:t>
      </w:r>
      <w:r w:rsidRPr="00C04E6A">
        <w:rPr>
          <w:rFonts w:cs="Calibri"/>
          <w:color w:val="000000" w:themeColor="text1"/>
        </w:rPr>
        <w:t>–</w:t>
      </w:r>
      <w:r w:rsidRPr="00C04E6A">
        <w:rPr>
          <w:color w:val="000000" w:themeColor="text1"/>
        </w:rPr>
        <w:t xml:space="preserve"> that is the trade receivables balance owed by the customer. For example, Steve Tank owes a total of £480.</w:t>
      </w:r>
    </w:p>
    <w:p w14:paraId="5C931B3B" w14:textId="77777777" w:rsidR="00C04E6A" w:rsidRPr="00C04E6A" w:rsidRDefault="00C04E6A" w:rsidP="00C04E6A">
      <w:pPr>
        <w:pStyle w:val="Bullet1"/>
        <w:numPr>
          <w:ilvl w:val="0"/>
          <w:numId w:val="5"/>
        </w:numPr>
        <w:rPr>
          <w:color w:val="000000" w:themeColor="text1"/>
        </w:rPr>
      </w:pPr>
      <w:r w:rsidRPr="00C04E6A">
        <w:rPr>
          <w:color w:val="000000" w:themeColor="text1"/>
        </w:rPr>
        <w:t xml:space="preserve">The </w:t>
      </w:r>
      <w:r w:rsidRPr="00C04E6A">
        <w:rPr>
          <w:b/>
          <w:color w:val="000000" w:themeColor="text1"/>
        </w:rPr>
        <w:t>VAT</w:t>
      </w:r>
      <w:r w:rsidRPr="00C04E6A">
        <w:rPr>
          <w:color w:val="000000" w:themeColor="text1"/>
        </w:rPr>
        <w:t xml:space="preserve"> included in this gross amount is the output VAT that is now owed to HMRC. There is £80 of VAT included in the £480 owed by Steve Tank.</w:t>
      </w:r>
    </w:p>
    <w:p w14:paraId="12889209" w14:textId="77777777" w:rsidR="00C04E6A" w:rsidRPr="00C04E6A" w:rsidRDefault="00C04E6A" w:rsidP="00C04E6A">
      <w:pPr>
        <w:pStyle w:val="Bullet1"/>
        <w:numPr>
          <w:ilvl w:val="0"/>
          <w:numId w:val="5"/>
        </w:numPr>
        <w:rPr>
          <w:color w:val="000000" w:themeColor="text1"/>
        </w:rPr>
      </w:pPr>
      <w:r w:rsidRPr="00C04E6A">
        <w:rPr>
          <w:color w:val="000000" w:themeColor="text1"/>
        </w:rPr>
        <w:t xml:space="preserve">The </w:t>
      </w:r>
      <w:r w:rsidRPr="00C04E6A">
        <w:rPr>
          <w:b/>
          <w:color w:val="000000" w:themeColor="text1"/>
        </w:rPr>
        <w:t xml:space="preserve">Net </w:t>
      </w:r>
      <w:r w:rsidRPr="00C04E6A">
        <w:rPr>
          <w:color w:val="000000" w:themeColor="text1"/>
        </w:rPr>
        <w:t>amount of the invoice which represents the income that the business actually gets to record as sales income. So, the business records £400 of income from the sale to Steve Tank.</w:t>
      </w:r>
    </w:p>
    <w:p w14:paraId="1C571074" w14:textId="77777777" w:rsidR="00C04E6A" w:rsidRPr="00C04E6A" w:rsidRDefault="00C04E6A" w:rsidP="00C04E6A">
      <w:pPr>
        <w:rPr>
          <w:color w:val="000000" w:themeColor="text1"/>
        </w:rPr>
      </w:pPr>
      <w:r w:rsidRPr="00C04E6A">
        <w:rPr>
          <w:color w:val="000000" w:themeColor="text1"/>
        </w:rPr>
        <w:t>The entry of source documents for sales in the relevant books of prime entry may also be required.</w:t>
      </w:r>
    </w:p>
    <w:p w14:paraId="531EF9EC" w14:textId="77777777" w:rsidR="00C04E6A" w:rsidRPr="00C04E6A" w:rsidRDefault="00C04E6A" w:rsidP="00C04E6A">
      <w:pPr>
        <w:pStyle w:val="Body"/>
        <w:rPr>
          <w:color w:val="000000" w:themeColor="text1"/>
        </w:rPr>
      </w:pPr>
      <w:r w:rsidRPr="00C04E6A">
        <w:rPr>
          <w:color w:val="000000" w:themeColor="text1"/>
        </w:rPr>
        <w:t>Alternatively, there may be a partially completed SDB that requires completion.</w:t>
      </w:r>
    </w:p>
    <w:p w14:paraId="77BBAFE1" w14:textId="77777777" w:rsidR="00C04E6A" w:rsidRPr="00C04E6A" w:rsidRDefault="00C04E6A">
      <w:pPr>
        <w:rPr>
          <w:lang w:val="en-US"/>
        </w:rPr>
      </w:pPr>
    </w:p>
    <w:sectPr w:rsidR="00C04E6A" w:rsidRPr="00C0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46EC067B"/>
    <w:multiLevelType w:val="hybridMultilevel"/>
    <w:tmpl w:val="A902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5149A"/>
    <w:multiLevelType w:val="multilevel"/>
    <w:tmpl w:val="A6D4C7C8"/>
    <w:numStyleLink w:val="QuestionsList1"/>
  </w:abstractNum>
  <w:num w:numId="1" w16cid:durableId="348945408">
    <w:abstractNumId w:val="0"/>
  </w:num>
  <w:num w:numId="2" w16cid:durableId="1082021434">
    <w:abstractNumId w:val="2"/>
  </w:num>
  <w:num w:numId="3" w16cid:durableId="351996175">
    <w:abstractNumId w:val="1"/>
  </w:num>
  <w:num w:numId="4" w16cid:durableId="1845900900">
    <w:abstractNumId w:val="4"/>
  </w:num>
  <w:num w:numId="5" w16cid:durableId="344870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A"/>
    <w:rsid w:val="00313FD2"/>
    <w:rsid w:val="006A48FA"/>
    <w:rsid w:val="00C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DF1C"/>
  <w15:chartTrackingRefBased/>
  <w15:docId w15:val="{520C71A9-FD88-4094-86A6-EC1A4CA3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C04E6A"/>
    <w:pPr>
      <w:numPr>
        <w:ilvl w:val="3"/>
        <w:numId w:val="4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C04E6A"/>
    <w:pPr>
      <w:keepNext/>
      <w:numPr>
        <w:numId w:val="4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C04E6A"/>
    <w:pPr>
      <w:numPr>
        <w:ilvl w:val="4"/>
      </w:numPr>
    </w:pPr>
  </w:style>
  <w:style w:type="paragraph" w:customStyle="1" w:styleId="ListPara2">
    <w:name w:val="ListPara2"/>
    <w:qFormat/>
    <w:rsid w:val="00C04E6A"/>
    <w:pPr>
      <w:numPr>
        <w:ilvl w:val="6"/>
        <w:numId w:val="4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C04E6A"/>
    <w:pPr>
      <w:numPr>
        <w:ilvl w:val="8"/>
        <w:numId w:val="4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C04E6A"/>
    <w:pPr>
      <w:numPr>
        <w:ilvl w:val="5"/>
      </w:numPr>
    </w:pPr>
  </w:style>
  <w:style w:type="paragraph" w:customStyle="1" w:styleId="ListText2">
    <w:name w:val="ListText2"/>
    <w:basedOn w:val="ListText1"/>
    <w:qFormat/>
    <w:rsid w:val="00C04E6A"/>
    <w:pPr>
      <w:numPr>
        <w:ilvl w:val="7"/>
      </w:numPr>
    </w:pPr>
  </w:style>
  <w:style w:type="paragraph" w:customStyle="1" w:styleId="Bullet1">
    <w:name w:val="Bullet1"/>
    <w:uiPriority w:val="3"/>
    <w:qFormat/>
    <w:rsid w:val="00C04E6A"/>
    <w:pPr>
      <w:numPr>
        <w:numId w:val="3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C04E6A"/>
    <w:pPr>
      <w:numPr>
        <w:ilvl w:val="1"/>
      </w:numPr>
    </w:pPr>
  </w:style>
  <w:style w:type="numbering" w:customStyle="1" w:styleId="BulletList1">
    <w:name w:val="BulletList1"/>
    <w:uiPriority w:val="99"/>
    <w:rsid w:val="00C04E6A"/>
    <w:pPr>
      <w:numPr>
        <w:numId w:val="1"/>
      </w:numPr>
    </w:pPr>
  </w:style>
  <w:style w:type="paragraph" w:customStyle="1" w:styleId="SubHead">
    <w:name w:val="SubHead"/>
    <w:next w:val="Body"/>
    <w:qFormat/>
    <w:rsid w:val="00C04E6A"/>
    <w:pPr>
      <w:keepNext/>
      <w:numPr>
        <w:ilvl w:val="1"/>
        <w:numId w:val="4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C04E6A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C04E6A"/>
    <w:pPr>
      <w:numPr>
        <w:numId w:val="2"/>
      </w:numPr>
    </w:pPr>
  </w:style>
  <w:style w:type="paragraph" w:customStyle="1" w:styleId="Dash2">
    <w:name w:val="Dash2"/>
    <w:basedOn w:val="Dash1"/>
    <w:uiPriority w:val="3"/>
    <w:qFormat/>
    <w:rsid w:val="00C04E6A"/>
    <w:pPr>
      <w:numPr>
        <w:ilvl w:val="3"/>
      </w:numPr>
    </w:pPr>
  </w:style>
  <w:style w:type="paragraph" w:customStyle="1" w:styleId="Bullet2">
    <w:name w:val="Bullet2"/>
    <w:uiPriority w:val="3"/>
    <w:qFormat/>
    <w:rsid w:val="00C04E6A"/>
    <w:pPr>
      <w:numPr>
        <w:ilvl w:val="2"/>
        <w:numId w:val="3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C04E6A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C04E6A"/>
    <w:pPr>
      <w:numPr>
        <w:ilvl w:val="4"/>
      </w:numPr>
    </w:pPr>
  </w:style>
  <w:style w:type="paragraph" w:customStyle="1" w:styleId="TableBody">
    <w:name w:val="TableBody"/>
    <w:qFormat/>
    <w:rsid w:val="00C04E6A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C04E6A"/>
    <w:pPr>
      <w:keepNext/>
    </w:pPr>
    <w:rPr>
      <w:b/>
      <w:color w:val="FFFFFF" w:themeColor="background1"/>
    </w:rPr>
  </w:style>
  <w:style w:type="table" w:customStyle="1" w:styleId="AATProformaTable">
    <w:name w:val="AATProformaTable"/>
    <w:basedOn w:val="TableNormal"/>
    <w:uiPriority w:val="99"/>
    <w:rsid w:val="00C04E6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2023-05-12T10:28:00Z</dcterms:created>
  <dcterms:modified xsi:type="dcterms:W3CDTF">2023-05-12T10:28:00Z</dcterms:modified>
</cp:coreProperties>
</file>