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Regresión de la variable cirrosis en función a la edad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6"/>
        <w:gridCol w:w="1084"/>
        <w:gridCol w:w="1952"/>
        <w:gridCol w:w="1144"/>
      </w:tblGrid>
      <w:tr>
        <w:trPr>
          <w:trHeight w:val="61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p-valor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1.078, 5.290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-0.0399, 0.0414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0.972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Abreviacion: CI = Intervalo de confianza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2025-10-31T15:20:31Z</dcterms:modified>
  <cp:category/>
</cp:coreProperties>
</file>