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SGTIC CULTURA Y DEPORTE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UBICACION:  plaza del Rey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CAMBIO SEDE: No previsto.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PLAZAS: 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DITI: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ADMON ELEC: 1 plaza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SISTEMAS: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CIBERSEG: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SSCC: 1 plaza.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DESARROLLO: 1 plaza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REPARTO PLAZAS: X currículum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PROVINCIAS: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NIVEL ENTRADA: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 15/16 según oferta destinos.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PROMOCION: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Se promociona bien si hay hueco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lleva tiempo ampliar RPT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tais del 2018 promocionaron según  disponibilidad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ESPECIFICO: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- 3,8/4,3€ (Lv 15/16)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PRODUCTIVIDAD: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No de entrada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tardan meses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se intenta que se consiga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Favorables al TT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Se ciñen a FP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IMPORTE: 200-300€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BUFANDAS: 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sin especificar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TECNOLOGÍAS: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Oracle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.Net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SQL server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Visual Basic...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Domus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Magnolia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Acceda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Gema (propia)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Serv Apache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PosgreSQL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Centos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Redhat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Debían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WS16?? No lo entendí bien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CARMEN,CLAUDIA,LUCIA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FORMACION: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No de entrada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Formación interna por compás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INAP, y propia ministerio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DISCAPACIDAD: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Preparado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Cascos recomendados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Poco ruido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ZONA TRABAJO: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Pradera con escondites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HORARIO: 37,5/40 standard.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- 20% standard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RD lo standard de la 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ACCION SOCIAL: Si anual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Parking: Si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Cafeteria: 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VACACIONES: Standard 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COMENTARIOS: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Posibles plazas en museos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hay puestos de CAU, Documentación, atender a usuarios y empresas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interlocución con SGAD  a través de GEMA Y ACCEDA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trabajo muy de toquetear, poco externo en servicios digitales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dice uno de ellos que la gente vuelve al sitio, xq intuyo que deben de vivir bien o eso insinúa..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el que llegue va a estar arropado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CPD pequeño que gestionan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ciber está en área de sistemas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el de sistemas me está durmiendo ....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el trabajo en sistemas es técnico no azota externos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hay plaza de aatt al usuario montando y configurando ordenas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Hay cursos xa promo a A2 en INAP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apoyan xa presentarse a A2/A1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Las tais del 2018 son ahora 18 y 18 3 niveles en 1 año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