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Resumen Tribunal Económico-Administrativo Central (TEAC), Ministerio de Hacienda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Tienen distribución territorial. Tienen TAI en tribunales regionales. La parte desarrollo y sistemas lo tienen centralizado en SSCC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plazas para SSCC. (perfil de desarrollo y perfil de sistemas). Se adaptan al CV.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Desarrollan y mantienen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25 funcionarios y unos 30 externos.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Horario, fichan con aplicación. Son flexibles.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Teletrabajo, 1 día o tardes y cuando salga el RD según lo establecido en el RD.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Posibilidad de subir rápida, aplican política de méritos por encima de antigüedad.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Hay puestos TAI en provincias.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Salario unos 26.000 €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Productividad de unos 3000-4000 € anuales.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Calle panamá 1 (metro cuzco)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Parking y guardería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Vacaciones según AGE.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Formación obligatoria de inicio no hay. Hay cursos recomendados.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Edificio es accesible.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praderas, recomendable utilizar cascos, aunque el nivel de ruido no es muy alto.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 hay previsión de cambios de sitio.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Tienen plan de formación interno.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Las comunicaciones la llevan en la SGTIC, buscan perfil de desarrollo y sistemas.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trabajo es más técnico en C1 la gestión la llevan los A2 o los A1.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 sistemas tienen principalmente servidores Windows. Administración de servidores Windows. Atención a usuarios.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Organismo pequeño en sistemas son 5.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TAI de promoción anterior está contento. Buen ambiente. Productividad de inicio.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Desarrollo trabajan con java, Oracle, jsr, java script. Sigue en nivel 15 a días de subir a 18 (1 año y medio ha tardado).  Productividad 3500 (no llega a los 4000 €.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Acción Social según todos los organismos del Ministerio de Hacienda.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Comedor (en complejo cuzco). Menú 7 €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Parking sin problema.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