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Resumen Ministerio de Industria, Comercio y Turismo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plazas (2 RRHH, 1 apoyo PYME, 1 subdirección general TIC, 1 para patentes)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2 plazas RRHH gestión de BBDD relacionales (Oracle y SQL Server) y desarrollo de explotación de BBDD relacionales (visual Basic, Access, etc).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tienen funciones de sistemas en la parte de RRHH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1 plaza Apoyo PYME desarrollo web (.net, ASP.NET) y pruebas sobre lo que desarrollan los externos. La función de la persona sería para pruebas sobre lo que desarrollan los externos.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1 plaza SGTIC (necesitan persona de desarrollo para gestión de externos (rol Product Owner)). Utilizan practicas ITIL, Desarrollo mantenimiento Lean Kanban y desarrollo Ágil (Scrum). Gestión de externos para controlar las aplicaciones que gestionan los externos.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necesitan a nadie de sistemas en este Ministerio, aunque si lo tienen.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Dirección: Castellana 160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Tienen retribución por objetivos.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Formación si tienen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Tienen ciberseguridad, aunque ninguna vacante iría ahí.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55 personas 20 en sistemas y el resto en desarrollo.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Horario y teletrabajo según 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Productividad sí de acuerdo a cada destino, pero no de partida. No indican importe (dicen que según el resto de ministerios).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Teletrabajo 1 día o las tardes.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sede permanecerá en el mismo edificio.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Servicios compartidos con otros ministerios parking, comedor, cafetería, guardería.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 hay formación obligatoria de entrada.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Despachos compartidos.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hay movilidad.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Nivel de entrada 15 o 16.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Posibilidad de progresión por jubilación cercana. Creen que no queda nadie en nivel de entrada.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se adaptan al CV si alguien de sistemas o redes le toca se tendrá que poner las pilas en lo que le toque hacer en el puesto respecto a desarrollo o BBDD.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