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Resumen Ministerio de Política Territorial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Sedes principales (en zona Alonso Martinez y Colón)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José Marañón 12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calle Santa Engracia 7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Paseo de la Castellana 3 (en obras)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Posibilidad de parking en Manuel Cortina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24 funcionarios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Horario 37,5 o 40 con productividad (con 2 tardes con concesión de teletrabajo)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Horario igual que en 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Nivel de entrada 16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Plazas ofertadas para Madrid Posibilidad de movilidad a partir de hacer el 2º año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Productividad de 250 (no es inmediato, sobre un par de meses)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 o 3 bufandas (pudiera ser como la cuantía de un mes más o menos, pero es variable)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Evolución de niveles, creen que han subido todos de nivel.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 tienen administración de sistemas.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 desarrollo no se pica código, más orientados a gestión de externos.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 la parte de sistemas/comunicaciones está también más orientada a gestión de externos.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Más o menos flexibles en el tema Vacaciones respecto a otros organismos.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 la incorporación, rotan a las personas por los distintos grupos para encontrarle el mejor sitio al que se adapte el perfil de cada uno.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Despachos compartidos.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Nivel de ruido bajo.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 tienen cafetería/ comedor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Ayudas plan de acción social del Ministerio (estudios, temas médicos, etc)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Esperan 3 o 4 plazas.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Buen ambiente.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