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Centro Nacional de Información Geográfica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Calle General Ibáñez de Ibero 3  (cerca a cuatro caminos, metro Guzmán el bueno)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plaza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Horario 37,5 horas con flexibilidad. No hay cortesía. Fichan a la entrada.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Productividad por tardes (3 tardes) no desde el principio. Dan bufandas, pero pequeñas. NO ES UN SITIO PARA FORRARSE. SITIO PEQUEÑO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Teletrabajo 1 día. Se acogerán al R.D. Las tardes no se hacen en teletrabajo.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Promocionan, pero no es muy rápido.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movilidad a provincias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Sueldo por defecto.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Parking pero no hay para todos.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Sala para comer. No tienen cafetería. Guardería en Nuevos Ministerios.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Vacaciones según AGE, se adaptan para cubrir el servicio.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formación inicial.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Servicio accesible (con salva escaleras).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Ruido bajo, distribución en despachos (máximo de 4 personas).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hay previsión de cambio de sede.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Formación del ministerio al que pertenecen.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Acción social la propia del ministerio.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Desarrollo principalmente en java.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redes tienen cortafuegos (chetpoint, fortigate), gestionan sus propios switches.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que entró en 2019 está en n 16 y está para concursar al nivel 18.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Características del puesto: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adaptan al CV en sistemas y desarrollo. Gestionan externos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