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Bueno ya han mandado muchos pero..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Centro Nacional de Información Geográfica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Ubicación: General Ibáñez Rivero, 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Horario: AGE (37,5h)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Tardes: de entrada no, a medio plazo (3 tardes)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Teletrabajo: 1 día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Nivel de entrada: FP (15)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Promoción: TAI 2017 está concursando para el 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Movilidad: no hay TAIS en provincia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(Tienen 'Casas del mapa' pero no hay informáticos en ellas)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Se ficha con tarjeta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Salario bruto: por defecto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Productividad: variable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Plazas: 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Organismo tipo: último mono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Área de informática: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+ Jefe de área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+ Compañero Microinformática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+ Topógrafo (apps móviles)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+ Sistemas desarrollo redes (inexistente: externalizado)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El TAI que vaya puede hacer lo que le salga ...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él le gustaría perfil desarrollo para mantenimiento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Sistemas está contratada empresa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 entra un perfil de sistemas los supervisaría y trabajaría con ellos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+Desarrollo: Java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+ Nube: algo tienen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+ Redes: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Servicios: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+Parking: sí, pero hay menos plazas que gente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+Guardería: Sí, en otro edificio (NNMM en el mitma)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+Comedor:  Habia cafetería con servicio de comida , pero ya no tienen. Ahora es una sala con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+ Descuentos 20% al comprar mapas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 Acción Social: la del ministerio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 Formación: propia del ministerio y propia del organismo (geográfica)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Se trabaja en despachos (no hay praderas)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Previsión cambio de sede: no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Denominación de la plaza: ni idea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"Centro Nacional de información geográfica (cree...)"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¿Qué hacen?: venden mapas en papel y distribuyen y publican información geográfica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