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BOE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Plaza para sistemas. Para atención a usuario. 5 personas en sistemas. Se encargan de plataforma y arquitectura, conexión con red SARA. Conexión con internet con varios proveedores, temas de ciberseguridad. Intentan que los 5 sepan más o menos de todo unos más según su especialidad.  Plaza para microinformática.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También sería buen destino para alguien de redes aunque buscan más un perfil de redes.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Sitio pequeño, con buen entorno de trabajo.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Promoción relativamente rápida.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Cobran productividad estándar.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Trabajan en Manoteras (Sanchinarro, metro Virgen del Cortijo, cercanías Virgen de la Mora)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Ayuda al transporte (80 €/mes)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Parquin y comedor (2 €). Guardería no.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Despachos espaciosos, con posibilidad de no compartir despacho.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Teletrabajo, son partidarios. Se rigen al 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Movilidad no.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Nivel de entrada 15 pero suben rápido a 18 (casi desde el principio). En función de cualificación se puede promocionar al 22.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Productividad semestral, tardes (1 tarde). Valor de productividad según estándar FP.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el BOE no tienen externos. Todo lo hacen los funcionarios.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Vacaciones siguen las normas de FP. Los 5 días sueltos si los permiten juntar con moscosos.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Formación obligatoria no hay. Tienen cursos propios.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Edificio accesible.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tienen pensado cambio de sede a corto plazo.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hay guardias, pero a futuro es posible.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Comentan que entre el transporte (80€) y la tarde cobraban sobre 400.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Ministerio de presidencia iba a sacar 5 plazas, pero le han cedido 1 al BOE.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Incidencias se llevan por plataforma WEB, con software similar a Remedy.  No tienen SLAs.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