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2">
      <w:pPr>
        <w:spacing w:after="2000" w:lineRule="auto"/>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1717992</wp:posOffset>
            </wp:positionH>
            <wp:positionV relativeFrom="paragraph">
              <wp:posOffset>0</wp:posOffset>
            </wp:positionV>
            <wp:extent cx="2507615" cy="85090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07615" cy="850900"/>
                    </a:xfrm>
                    <a:prstGeom prst="rect"/>
                    <a:ln/>
                  </pic:spPr>
                </pic:pic>
              </a:graphicData>
            </a:graphic>
          </wp:anchor>
        </w:drawing>
      </w:r>
    </w:p>
    <w:p w:rsidR="00000000" w:rsidDel="00000000" w:rsidP="00000000" w:rsidRDefault="00000000" w:rsidRPr="00000000" w14:paraId="00000003">
      <w:pPr>
        <w:spacing w:after="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0"/>
          <w:szCs w:val="30"/>
          <w:rtl w:val="0"/>
        </w:rPr>
        <w:t xml:space="preserve">Registro de Decisiones de Arquitectura</w:t>
      </w:r>
      <w:r w:rsidDel="00000000" w:rsidR="00000000" w:rsidRPr="00000000">
        <w:rPr>
          <w:rtl w:val="0"/>
        </w:rPr>
      </w:r>
    </w:p>
    <w:p w:rsidR="00000000" w:rsidDel="00000000" w:rsidP="00000000" w:rsidRDefault="00000000" w:rsidRPr="00000000" w14:paraId="00000004">
      <w:pPr>
        <w:spacing w:after="2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tl w:val="0"/>
        </w:rPr>
        <w:t xml:space="preserve">Architecture Decision Records (ADR) — Ampliación Sprint 2</w:t>
      </w:r>
      <w:r w:rsidDel="00000000" w:rsidR="00000000" w:rsidRPr="00000000">
        <w:rPr>
          <w:rtl w:val="0"/>
        </w:rPr>
      </w:r>
    </w:p>
    <w:p w:rsidR="00000000" w:rsidDel="00000000" w:rsidP="00000000" w:rsidRDefault="00000000" w:rsidRPr="00000000" w14:paraId="00000005">
      <w:pPr>
        <w:spacing w:after="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ARQUITECTURA DE SOFTWARE</w:t>
      </w:r>
      <w:r w:rsidDel="00000000" w:rsidR="00000000" w:rsidRPr="00000000">
        <w:rPr>
          <w:rtl w:val="0"/>
        </w:rPr>
      </w:r>
    </w:p>
    <w:p w:rsidR="00000000" w:rsidDel="00000000" w:rsidP="00000000" w:rsidRDefault="00000000" w:rsidRPr="00000000" w14:paraId="00000007">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PRESENTADO POR:</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Andrés David Ortiz Forero</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Gustavo Salvador Aguilar</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Miguel Ángel Laiton Ruiz</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Tomás Andrés Ospina Ulloa</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Tomás Ramírez Roa</w:t>
      </w: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David Santiago Rodríguez Prieto</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Juan Pablo Espinosa Robledo</w:t>
      </w:r>
      <w:r w:rsidDel="00000000" w:rsidR="00000000" w:rsidRPr="00000000">
        <w:rPr>
          <w:rtl w:val="0"/>
        </w:rPr>
      </w:r>
    </w:p>
    <w:p w:rsidR="00000000" w:rsidDel="00000000" w:rsidP="00000000" w:rsidRDefault="00000000" w:rsidRPr="00000000" w14:paraId="00000010">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Juan Sebastián Cenón Quintero</w:t>
      </w:r>
      <w:r w:rsidDel="00000000" w:rsidR="00000000" w:rsidRPr="00000000">
        <w:rPr>
          <w:rtl w:val="0"/>
        </w:rPr>
      </w:r>
    </w:p>
    <w:p w:rsidR="00000000" w:rsidDel="00000000" w:rsidP="00000000" w:rsidRDefault="00000000" w:rsidRPr="00000000" w14:paraId="00000011">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PRESENTADO A:</w:t>
      </w:r>
      <w:r w:rsidDel="00000000" w:rsidR="00000000" w:rsidRPr="00000000">
        <w:rPr>
          <w:rtl w:val="0"/>
        </w:rPr>
      </w:r>
    </w:p>
    <w:p w:rsidR="00000000" w:rsidDel="00000000" w:rsidP="00000000" w:rsidRDefault="00000000" w:rsidRPr="00000000" w14:paraId="00000013">
      <w:pPr>
        <w:spacing w:after="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Ing. Andrés Armando Sánchez</w:t>
      </w:r>
      <w:r w:rsidDel="00000000" w:rsidR="00000000" w:rsidRPr="00000000">
        <w:rPr>
          <w:rtl w:val="0"/>
        </w:rPr>
      </w:r>
    </w:p>
    <w:p w:rsidR="00000000" w:rsidDel="00000000" w:rsidP="00000000" w:rsidRDefault="00000000" w:rsidRPr="00000000" w14:paraId="00000014">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PONTIFICIA UNIVERSIDAD JAVERIANA</w:t>
      </w:r>
      <w:r w:rsidDel="00000000" w:rsidR="00000000" w:rsidRPr="00000000">
        <w:rPr>
          <w:rtl w:val="0"/>
        </w:rPr>
      </w:r>
    </w:p>
    <w:p w:rsidR="00000000" w:rsidDel="00000000" w:rsidP="00000000" w:rsidRDefault="00000000" w:rsidRPr="00000000" w14:paraId="00000016">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FACULTAD DE INGENIERÍA</w:t>
      </w:r>
      <w:r w:rsidDel="00000000" w:rsidR="00000000" w:rsidRPr="00000000">
        <w:rPr>
          <w:rtl w:val="0"/>
        </w:rPr>
      </w:r>
    </w:p>
    <w:p w:rsidR="00000000" w:rsidDel="00000000" w:rsidP="00000000" w:rsidRDefault="00000000" w:rsidRPr="00000000" w14:paraId="00000018">
      <w:pPr>
        <w:spacing w:after="12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DEPARTAMENTO DE INGENIERÍA DE SISTEMAS</w:t>
      </w:r>
      <w:r w:rsidDel="00000000" w:rsidR="00000000" w:rsidRPr="00000000">
        <w:rPr>
          <w:rtl w:val="0"/>
        </w:rPr>
      </w:r>
    </w:p>
    <w:p w:rsidR="00000000" w:rsidDel="00000000" w:rsidP="00000000" w:rsidRDefault="00000000" w:rsidRPr="00000000" w14:paraId="0000001A">
      <w:pPr>
        <w:spacing w:after="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17 de septiembre de 2026</w:t>
      </w:r>
      <w:r w:rsidDel="00000000" w:rsidR="00000000" w:rsidRPr="00000000">
        <w:rPr>
          <w:rtl w:val="0"/>
        </w:rPr>
      </w:r>
    </w:p>
    <w:p w:rsidR="00000000" w:rsidDel="00000000" w:rsidP="00000000" w:rsidRDefault="00000000" w:rsidRPr="00000000" w14:paraId="0000001C">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Propósito y alcance</w:t>
      </w:r>
    </w:p>
    <w:p w:rsidR="00000000" w:rsidDel="00000000" w:rsidP="00000000" w:rsidRDefault="00000000" w:rsidRPr="00000000" w14:paraId="0000001D">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documento amplía el Registro de Decisiones de Arquitectura consolidado en el Sprint 1 (Fixia_ADR_Registro_Decisiones_Arquitectura.docx, v1.0, ADR-001 a ADR-020) incorporando las decisiones arquitectónicas nuevas o formalizadas durante el Sprint 2, identificadas a partir del SAD V2, el DD V2 y el Documento de Arquitectura de Infraestructura, Seguridad y Ambientes (K3s). No repite ni reemplaza las decisiones ya aceptadas en el Sprint 1 salvo cuando una fuente del Sprint 2 las revisa explícitamente (señalado en cada caso).</w:t>
      </w:r>
    </w:p>
    <w:p w:rsidR="00000000" w:rsidDel="00000000" w:rsidP="00000000" w:rsidRDefault="00000000" w:rsidRPr="00000000" w14:paraId="0000001E">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Convenciones</w:t>
      </w:r>
    </w:p>
    <w:p w:rsidR="00000000" w:rsidDel="00000000" w:rsidP="00000000" w:rsidRDefault="00000000" w:rsidRPr="00000000" w14:paraId="0000001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ADR se documenta con la misma estructura fija adoptada en el Sprint 1: Estado (Aceptado, Reemplazado, o En evaluación), Contexto, Decisión, Alternativas consideradas, Consecuencias (efectos positivos [+] y negativos [-], incluyendo riesgos asumidos) y Referencias (documentos o páginas de la wiki técnica que sustentan la decisión). La numeración continúa la del Sprint 1 (ADR-021 en adelante).</w:t>
      </w:r>
    </w:p>
    <w:p w:rsidR="00000000" w:rsidDel="00000000" w:rsidP="00000000" w:rsidRDefault="00000000" w:rsidRPr="00000000" w14:paraId="00000020">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Índice de ADR — Sprint 2</w:t>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6280"/>
        <w:gridCol w:w="2600"/>
        <w:tblGridChange w:id="0">
          <w:tblGrid>
            <w:gridCol w:w="1200"/>
            <w:gridCol w:w="6280"/>
            <w:gridCol w:w="260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2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Título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ADR-021</w:t>
            </w:r>
          </w:p>
        </w:tc>
        <w:tc>
          <w:tcPr>
            <w:tcMar>
              <w:top w:w="80.0" w:type="dxa"/>
              <w:left w:w="100.0" w:type="dxa"/>
              <w:bottom w:w="80.0" w:type="dxa"/>
              <w:right w:w="100.0" w:type="dxa"/>
            </w:tcMar>
          </w:tcPr>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 como stack por defecto de los microservicios de negocio (revisa ADR-012)</w:t>
            </w:r>
          </w:p>
        </w:tc>
        <w:tc>
          <w:tcPr>
            <w:tcMar>
              <w:top w:w="80.0" w:type="dxa"/>
              <w:left w:w="100.0" w:type="dxa"/>
              <w:bottom w:w="80.0" w:type="dxa"/>
              <w:right w:w="100.0" w:type="dxa"/>
            </w:tcMar>
          </w:tcPr>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ADR-022</w:t>
            </w:r>
          </w:p>
        </w:tc>
        <w:tc>
          <w:tcPr>
            <w:tcMar>
              <w:top w:w="80.0" w:type="dxa"/>
              <w:left w:w="100.0" w:type="dxa"/>
              <w:bottom w:w="80.0" w:type="dxa"/>
              <w:right w:w="100.0" w:type="dxa"/>
            </w:tcMar>
          </w:tcPr>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Aislamiento físico de bases de datos relacionales por microservicio (PostgreSQL dedicado)</w:t>
            </w:r>
          </w:p>
        </w:tc>
        <w:tc>
          <w:tcPr>
            <w:tcMar>
              <w:top w:w="80.0" w:type="dxa"/>
              <w:left w:w="100.0" w:type="dxa"/>
              <w:bottom w:w="80.0" w:type="dxa"/>
              <w:right w:w="100.0" w:type="dxa"/>
            </w:tcMar>
          </w:tcPr>
          <w:p w:rsidR="00000000" w:rsidDel="00000000" w:rsidP="00000000" w:rsidRDefault="00000000" w:rsidRPr="00000000" w14:paraId="0000002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tensión residual sin cerrar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ADR-023</w:t>
            </w:r>
          </w:p>
        </w:tc>
        <w:tc>
          <w:tcPr>
            <w:tcMar>
              <w:top w:w="80.0" w:type="dxa"/>
              <w:left w:w="100.0" w:type="dxa"/>
              <w:bottom w:w="80.0" w:type="dxa"/>
              <w:right w:w="100.0" w:type="dxa"/>
            </w:tcMar>
          </w:tcPr>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Almacenamiento de objetos inmutables (MinIO, modo WORM) para evidencias y documentos de identidad</w:t>
            </w:r>
          </w:p>
        </w:tc>
        <w:tc>
          <w:tcPr>
            <w:tcMar>
              <w:top w:w="80.0" w:type="dxa"/>
              <w:left w:w="100.0" w:type="dxa"/>
              <w:bottom w:w="80.0" w:type="dxa"/>
              <w:right w:w="100.0" w:type="dxa"/>
            </w:tcMar>
          </w:tcPr>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ADR-024</w:t>
            </w:r>
          </w:p>
        </w:tc>
        <w:tc>
          <w:tcPr>
            <w:tcMar>
              <w:top w:w="80.0" w:type="dxa"/>
              <w:left w:w="100.0" w:type="dxa"/>
              <w:bottom w:w="80.0" w:type="dxa"/>
              <w:right w:w="100.0" w:type="dxa"/>
            </w:tcMar>
          </w:tcPr>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Fonts w:ascii="Cardo" w:cs="Cardo" w:eastAsia="Cardo" w:hAnsi="Cardo"/>
                <w:rtl w:val="0"/>
              </w:rPr>
              <w:t xml:space="preserve">Sincronización PostgreSQL↔MongoDB mediante Transactional Outbox y eventos mínimos (Thin Events) sobre Kafka</w:t>
            </w:r>
          </w:p>
        </w:tc>
        <w:tc>
          <w:tcPr>
            <w:tcMar>
              <w:top w:w="80.0" w:type="dxa"/>
              <w:left w:w="100.0" w:type="dxa"/>
              <w:bottom w:w="80.0" w:type="dxa"/>
              <w:right w:w="100.0" w:type="dxa"/>
            </w:tcMar>
          </w:tcPr>
          <w:p w:rsidR="00000000" w:rsidDel="00000000" w:rsidP="00000000" w:rsidRDefault="00000000" w:rsidRPr="00000000" w14:paraId="0000002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ADR-025</w:t>
            </w:r>
          </w:p>
        </w:tc>
        <w:tc>
          <w:tcPr>
            <w:tcMar>
              <w:top w:w="80.0" w:type="dxa"/>
              <w:left w:w="100.0" w:type="dxa"/>
              <w:bottom w:w="80.0" w:type="dxa"/>
              <w:right w:w="100.0" w:type="dxa"/>
            </w:tcMar>
          </w:tcPr>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Consistencia del flujo de creación/pago de un Servicio mediante Saga coreografiada</w:t>
            </w:r>
          </w:p>
        </w:tc>
        <w:tc>
          <w:tcPr>
            <w:tcMar>
              <w:top w:w="80.0" w:type="dxa"/>
              <w:left w:w="100.0" w:type="dxa"/>
              <w:bottom w:w="80.0" w:type="dxa"/>
              <w:right w:w="100.0" w:type="dxa"/>
            </w:tcMar>
          </w:tcPr>
          <w:p w:rsidR="00000000" w:rsidDel="00000000" w:rsidP="00000000" w:rsidRDefault="00000000" w:rsidRPr="00000000" w14:paraId="000000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ADR-026</w:t>
            </w:r>
          </w:p>
        </w:tc>
        <w:tc>
          <w:tcPr>
            <w:tcMar>
              <w:top w:w="80.0" w:type="dxa"/>
              <w:left w:w="100.0" w:type="dxa"/>
              <w:bottom w:w="80.0" w:type="dxa"/>
              <w:right w:w="100.0" w:type="dxa"/>
            </w:tcMar>
          </w:tcPr>
          <w:p w:rsidR="00000000" w:rsidDel="00000000" w:rsidP="00000000" w:rsidRDefault="00000000" w:rsidRPr="00000000" w14:paraId="0000003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Topología de infraestructura on-premise K3s con separación física de Workers por ambiente</w:t>
            </w:r>
          </w:p>
        </w:tc>
        <w:tc>
          <w:tcPr>
            <w:tcMar>
              <w:top w:w="80.0" w:type="dxa"/>
              <w:left w:w="100.0" w:type="dxa"/>
              <w:bottom w:w="80.0" w:type="dxa"/>
              <w:right w:w="100.0" w:type="dxa"/>
            </w:tcMar>
          </w:tcPr>
          <w:p w:rsidR="00000000" w:rsidDel="00000000" w:rsidP="00000000" w:rsidRDefault="00000000" w:rsidRPr="00000000" w14:paraId="000000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ADR-027</w:t>
            </w:r>
          </w:p>
        </w:tc>
        <w:tc>
          <w:tcPr>
            <w:tcMar>
              <w:top w:w="80.0" w:type="dxa"/>
              <w:left w:w="100.0" w:type="dxa"/>
              <w:bottom w:w="80.0" w:type="dxa"/>
              <w:right w:w="100.0" w:type="dxa"/>
            </w:tcMar>
          </w:tcPr>
          <w:p w:rsidR="00000000" w:rsidDel="00000000" w:rsidP="00000000" w:rsidRDefault="00000000" w:rsidRPr="00000000" w14:paraId="0000003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Traefik como API Gateway / Ingress único del clúster</w:t>
            </w:r>
          </w:p>
        </w:tc>
        <w:tc>
          <w:tcPr>
            <w:tcMar>
              <w:top w:w="80.0" w:type="dxa"/>
              <w:left w:w="100.0" w:type="dxa"/>
              <w:bottom w:w="80.0" w:type="dxa"/>
              <w:right w:w="100.0" w:type="dxa"/>
            </w:tcMar>
          </w:tcPr>
          <w:p w:rsidR="00000000" w:rsidDel="00000000" w:rsidP="00000000" w:rsidRDefault="00000000" w:rsidRPr="00000000" w14:paraId="000000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ADR-028</w:t>
            </w:r>
          </w:p>
        </w:tc>
        <w:tc>
          <w:tcPr>
            <w:tcMar>
              <w:top w:w="80.0" w:type="dxa"/>
              <w:left w:w="100.0" w:type="dxa"/>
              <w:bottom w:w="80.0" w:type="dxa"/>
              <w:right w:w="100.0" w:type="dxa"/>
            </w:tcMar>
          </w:tcPr>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HashiCorp Vault como gestor centralizado de secretos en tiempo de ejecución</w:t>
            </w:r>
          </w:p>
        </w:tc>
        <w:tc>
          <w:tcPr>
            <w:tcMar>
              <w:top w:w="80.0" w:type="dxa"/>
              <w:left w:w="100.0" w:type="dxa"/>
              <w:bottom w:w="80.0" w:type="dxa"/>
              <w:right w:w="100.0" w:type="dxa"/>
            </w:tcMar>
          </w:tcPr>
          <w:p w:rsidR="00000000" w:rsidDel="00000000" w:rsidP="00000000" w:rsidRDefault="00000000" w:rsidRPr="00000000" w14:paraId="0000003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integración técnica pendiente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ADR-029</w:t>
            </w:r>
          </w:p>
        </w:tc>
        <w:tc>
          <w:tcPr>
            <w:tcMar>
              <w:top w:w="80.0" w:type="dxa"/>
              <w:left w:w="100.0" w:type="dxa"/>
              <w:bottom w:w="80.0" w:type="dxa"/>
              <w:right w:w="100.0" w:type="dxa"/>
            </w:tcMar>
          </w:tcPr>
          <w:p w:rsidR="00000000" w:rsidDel="00000000" w:rsidP="00000000" w:rsidRDefault="00000000" w:rsidRPr="00000000" w14:paraId="0000003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Promoción de artefactos inmutable por digest entre QA y Producción, versionado independiente por microservicio</w:t>
            </w:r>
          </w:p>
        </w:tc>
        <w:tc>
          <w:tcPr>
            <w:tcMar>
              <w:top w:w="80.0" w:type="dxa"/>
              <w:left w:w="100.0" w:type="dxa"/>
              <w:bottom w:w="80.0" w:type="dxa"/>
              <w:right w:w="100.0" w:type="dxa"/>
            </w:tcMar>
          </w:tcPr>
          <w:p w:rsidR="00000000" w:rsidDel="00000000" w:rsidP="00000000" w:rsidRDefault="00000000" w:rsidRPr="00000000" w14:paraId="000000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ADR-030</w:t>
            </w:r>
          </w:p>
        </w:tc>
        <w:tc>
          <w:tcPr>
            <w:tcMar>
              <w:top w:w="80.0" w:type="dxa"/>
              <w:left w:w="100.0" w:type="dxa"/>
              <w:bottom w:w="80.0" w:type="dxa"/>
              <w:right w:w="100.0" w:type="dxa"/>
            </w:tcMar>
          </w:tcPr>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Runners de CI/CD separados por ambiente (QA / Producción)</w:t>
            </w:r>
          </w:p>
        </w:tc>
        <w:tc>
          <w:tcPr>
            <w:tcMar>
              <w:top w:w="80.0" w:type="dxa"/>
              <w:left w:w="100.0" w:type="dxa"/>
              <w:bottom w:w="80.0" w:type="dxa"/>
              <w:right w:w="100.0" w:type="dxa"/>
            </w:tcMar>
          </w:tcPr>
          <w:p w:rsidR="00000000" w:rsidDel="00000000" w:rsidP="00000000" w:rsidRDefault="00000000" w:rsidRPr="00000000" w14:paraId="000000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 — diseño propuesto</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ADR-031</w:t>
            </w:r>
          </w:p>
        </w:tc>
        <w:tc>
          <w:tcPr>
            <w:tcMar>
              <w:top w:w="80.0" w:type="dxa"/>
              <w:left w:w="100.0" w:type="dxa"/>
              <w:bottom w:w="80.0" w:type="dxa"/>
              <w:right w:w="100.0" w:type="dxa"/>
            </w:tcMar>
          </w:tcPr>
          <w:p w:rsidR="00000000" w:rsidDel="00000000" w:rsidP="00000000" w:rsidRDefault="00000000" w:rsidRPr="00000000" w14:paraId="0000004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Observabilidad estándar con Prometheus, Grafana, Loki y Alertmanager</w:t>
            </w:r>
          </w:p>
        </w:tc>
        <w:tc>
          <w:tcPr>
            <w:tcMar>
              <w:top w:w="80.0" w:type="dxa"/>
              <w:left w:w="100.0" w:type="dxa"/>
              <w:bottom w:w="80.0" w:type="dxa"/>
              <w:right w:w="100.0" w:type="dxa"/>
            </w:tcMar>
          </w:tcPr>
          <w:p w:rsidR="00000000" w:rsidDel="00000000" w:rsidP="00000000" w:rsidRDefault="00000000" w:rsidRPr="00000000" w14:paraId="0000004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Aceptado</w:t>
            </w:r>
          </w:p>
        </w:tc>
      </w:tr>
    </w:tbl>
    <w:p w:rsidR="00000000" w:rsidDel="00000000" w:rsidP="00000000" w:rsidRDefault="00000000" w:rsidRPr="00000000" w14:paraId="0000004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Decisiones de stack tecnológico y persistencia (ADR-021 a ADR-022)</w:t>
      </w:r>
    </w:p>
    <w:p w:rsidR="00000000" w:rsidDel="00000000" w:rsidP="00000000" w:rsidRDefault="00000000" w:rsidRPr="00000000" w14:paraId="00000047">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ADR-021 — Java 21 + Spring Boot como stack por defecto de los microservicios de negocio (revisa ADR-012)</w:t>
      </w:r>
    </w:p>
    <w:p w:rsidR="00000000" w:rsidDel="00000000" w:rsidP="00000000" w:rsidRDefault="00000000" w:rsidRPr="00000000" w14:paraId="00000048">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 — revisa parcialmente ADR-012 (Sprint 1)</w:t>
      </w:r>
    </w:p>
    <w:p w:rsidR="00000000" w:rsidDel="00000000" w:rsidP="00000000" w:rsidRDefault="00000000" w:rsidRPr="00000000" w14:paraId="00000049">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4A">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ADR-012 (Sprint 1) fijó Node.js/TypeScript como lenguaje por defecto de los microservicios I/O-bound y dejó Java en anillo “Retener” salvo justificación propia. El SAD V2 documenta el catálogo de seis microservicios de negocio del MVP (ms-usuarios, ms-tecnicos, ms-servicios, ms-comunicacion, ms-pagos, ms-matching-geo) con Java 21 + Spring Boot como stack para cinco de ellos, y Python + FastAPI únicamente para el dominio geoespacial. Esto formaliza lo que el Registro del Sprint 1 había señalado como la Contradicción #2 (catálogo de microservicios inconsistente con ADR-012, con fixia-order-service ya documentado en Java Spring Boot).</w:t>
      </w:r>
    </w:p>
    <w:p w:rsidR="00000000" w:rsidDel="00000000" w:rsidP="00000000" w:rsidRDefault="00000000" w:rsidRPr="00000000" w14:paraId="0000004B">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4C">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21 + Spring Boot se adopta como stack por defecto de los microservicios de negocio transaccionales (identidad, técnicos, servicios/pagos, comunicación). Python + FastAPI + PostGIS se mantiene, sin cambios, como stack del microservicio de Matching y Geolocalización.</w:t>
      </w:r>
    </w:p>
    <w:p w:rsidR="00000000" w:rsidDel="00000000" w:rsidP="00000000" w:rsidRDefault="00000000" w:rsidRPr="00000000" w14:paraId="0000004D">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Mantener Node.js/TypeScript por defecto (ADR-012 original) — descartada para el MVP: el catálogo de microservicios definido en el SAD V2 ya se construyó en Java Spring Boot antes de esta consolidación documental.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Stack políglota sin lenguaje por defecto — descartada: reintroduce la inconsistencia de catálogo señalada como Contradicción #2 en el Sprint 1.</w:t>
      </w:r>
    </w:p>
    <w:p w:rsidR="00000000" w:rsidDel="00000000" w:rsidP="00000000" w:rsidRDefault="00000000" w:rsidRPr="00000000" w14:paraId="00000050">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Cierra formalmente la Contradicción #2 del Sprint 1: el catálogo de microservicios y el ADR de lenguaje quedan alineados.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Unifica el stack de la mayoría de los microservicios de negocio, reduciendo el número de pipelines de CI a mantener por lenguaje.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Contradice el anillo “Adoptar” de Node.js/TypeScript documentado en la wiki técnica (lenguajes-frameworks/nodejs-typescript.md) y el anillo “Retener” de Java — queda pendiente actualizar esa página de decisión de la wiki para que no quede desalineada con el SAD V2.</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Aumenta el consumo de memoria en reposo de cada pod (JVM), lo que obligó a ajustar los límites de recursos en K3s (ver ADR-026).</w:t>
      </w:r>
    </w:p>
    <w:p w:rsidR="00000000" w:rsidDel="00000000" w:rsidP="00000000" w:rsidRDefault="00000000" w:rsidRPr="00000000" w14:paraId="00000055">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SAD V2 §8.2 (Módulos de Negocio y Bounded Contexts); wiki: 03-decisiones-arquitectura/lenguajes-frameworks/java.md, nodejs-typescript.md; ADR-012 (Sprint 1).</w:t>
      </w:r>
      <w:r w:rsidDel="00000000" w:rsidR="00000000" w:rsidRPr="00000000">
        <w:rPr>
          <w:rtl w:val="0"/>
        </w:rPr>
      </w:r>
    </w:p>
    <w:p w:rsidR="00000000" w:rsidDel="00000000" w:rsidP="00000000" w:rsidRDefault="00000000" w:rsidRPr="00000000" w14:paraId="00000056">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ADR-022 — Aislamiento físico de bases de datos relacionales por microservicio (PostgreSQL dedicado)</w:t>
      </w:r>
    </w:p>
    <w:p w:rsidR="00000000" w:rsidDel="00000000" w:rsidP="00000000" w:rsidRDefault="00000000" w:rsidRPr="00000000" w14:paraId="0000005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 con tensión residual sin cerrar frente al DD V2 (ver sección de Contradicciones)</w:t>
      </w:r>
    </w:p>
    <w:p w:rsidR="00000000" w:rsidDel="00000000" w:rsidP="00000000" w:rsidRDefault="00000000" w:rsidRPr="00000000" w14:paraId="00000058">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59">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Contradicción #1 del Sprint 1 dejó abierta la tensión entre ADR-015 (Database per Service estricto) y el DD V0.5, que modelaba un único esquema relacional compartido (USUARIO, CLIENTE, TECNICO, SERVICIO, HISTORIAL) con relaciones de clave foránea entre dominios. El Documento de Arquitectura de Infraestructura (K3s) lista de forma explícita una base de datos PostgreSQL separada, con credenciales y almacenamiento propios, para cada microservicio (ms-services, ms-orders, ms-pago, ms-grading, ms-communication), y exige NetworkPolicies que impidan que un microservicio acceda a la base de datos de otro.</w:t>
      </w:r>
    </w:p>
    <w:p w:rsidR="00000000" w:rsidDel="00000000" w:rsidP="00000000" w:rsidRDefault="00000000" w:rsidRPr="00000000" w14:paraId="0000005A">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5B">
      <w:pPr>
        <w:spacing w:after="140" w:lineRule="auto"/>
        <w:rPr>
          <w:rFonts w:ascii="Times New Roman" w:cs="Times New Roman" w:eastAsia="Times New Roman" w:hAnsi="Times New Roman"/>
        </w:rPr>
      </w:pPr>
      <w:r w:rsidDel="00000000" w:rsidR="00000000" w:rsidRPr="00000000">
        <w:rPr>
          <w:rFonts w:ascii="Cardo" w:cs="Cardo" w:eastAsia="Cardo" w:hAnsi="Cardo"/>
          <w:rtl w:val="0"/>
        </w:rPr>
        <w:t xml:space="preserve">Cada microservicio con persistencia relacional obtiene su propia instancia/base de datos PostgreSQL dentro del clúster K3s, con credenciales y almacenamiento independientes, reforzada mediante NetworkPolicies de denegación por defecto (microservicio A → solo PostgreSQL A).</w:t>
      </w:r>
    </w:p>
    <w:p w:rsidR="00000000" w:rsidDel="00000000" w:rsidP="00000000" w:rsidRDefault="00000000" w:rsidRPr="00000000" w14:paraId="0000005C">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Documentar el núcleo relacional del DD V2 como una excepción deliberada al principio Database per Service — no se adopta en este documento: el Documento de Infraestructura no describe una excepción, sino bases de datos separadas por microservicio.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Mantener una única base PostgreSQL compartida — descartada explícitamente por la matriz de aislamiento del Documento de Infraestructura (§5.6).</w:t>
      </w:r>
    </w:p>
    <w:p w:rsidR="00000000" w:rsidDel="00000000" w:rsidP="00000000" w:rsidRDefault="00000000" w:rsidRPr="00000000" w14:paraId="0000005F">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Alinea la infraestructura con ADR-015 y con el principio de aislamiento de fallos y seguridad por dominio.</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Las NetworkPolicies dan un control técnico verificable, no solo documental, sobre el aislamiento.</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sz w:val="22"/>
          <w:szCs w:val="22"/>
          <w:u w:val="none"/>
          <w:shd w:fill="auto" w:val="clear"/>
          <w:vertAlign w:val="baseline"/>
          <w:rtl w:val="0"/>
        </w:rPr>
        <w:t xml:space="preserve">(-) Persiste una tensión sin resolver explícitamente entre esta decisión de infraestructura y el modelo de datos del DD V2, que documenta un único diagrama entidad-relación de siete tablas con relaciones de clave foránea entre dominios (por ejemplo, SERVICIO → CLIENTE y SERVICIO → TECNICO) sin especificar si esas tablas viven físicamente en la misma base de datos de Gestión de Servicios/Pagos o en bases separadas con sincronización adicional. Esta tensión queda señalada como pendiente y no se resuelve por inferencia en este documento (ver sección de Contradicciones, ítem 1).</w:t>
      </w:r>
    </w:p>
    <w:p w:rsidR="00000000" w:rsidDel="00000000" w:rsidP="00000000" w:rsidRDefault="00000000" w:rsidRPr="00000000" w14:paraId="00000063">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Documento de Arquitectura de Infraestructura §3, §5.6, §7; DD V2 §2.2; ADR-010, ADR-015 (Sprint 1).</w:t>
      </w:r>
      <w:r w:rsidDel="00000000" w:rsidR="00000000" w:rsidRPr="00000000">
        <w:rPr>
          <w:rtl w:val="0"/>
        </w:rPr>
      </w:r>
    </w:p>
    <w:p w:rsidR="00000000" w:rsidDel="00000000" w:rsidP="00000000" w:rsidRDefault="00000000" w:rsidRPr="00000000" w14:paraId="00000064">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 Decisiones de almacenamiento e integración de datos (ADR-023 a ADR-025)</w:t>
      </w:r>
    </w:p>
    <w:p w:rsidR="00000000" w:rsidDel="00000000" w:rsidP="00000000" w:rsidRDefault="00000000" w:rsidRPr="00000000" w14:paraId="00000065">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ADR-023 — Almacenamiento de objetos inmutables (MinIO, modo WORM) para evidencias y documentos de identidad</w:t>
      </w:r>
    </w:p>
    <w:p w:rsidR="00000000" w:rsidDel="00000000" w:rsidP="00000000" w:rsidRDefault="00000000" w:rsidRPr="00000000" w14:paraId="0000006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w:t>
      </w:r>
    </w:p>
    <w:p w:rsidR="00000000" w:rsidDel="00000000" w:rsidP="00000000" w:rsidRDefault="00000000" w:rsidRPr="00000000" w14:paraId="00000067">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68">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ADR-010 (Sprint 1) resolvió la persistencia de datos estructurados (PostgreSQL + MongoDB) pero no definió dónde ni cómo se almacenan los binarios de evidencia fotográfica del servicio ni los documentos de identidad del técnico, que RES-01/RNF-010 exigen mantener con inmutabilidad y trazabilidad de acceso. El SAD V2 introduce un componente de almacenamiento de objetos explícito para este fin.</w:t>
      </w:r>
    </w:p>
    <w:p w:rsidR="00000000" w:rsidDel="00000000" w:rsidP="00000000" w:rsidRDefault="00000000" w:rsidRPr="00000000" w14:paraId="00000069">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6A">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evidencias fotográficas y los documentos de identidad se almacenan como objetos en MinIO (almacenamiento on-premise compatible con la API de S3), con políticas de bloqueo de objetos (object lock, write-once-read-many) para impedir su alteración o borrado, y no se almacenan como binarios embebidos en PostgreSQL ni MongoDB.</w:t>
      </w:r>
    </w:p>
    <w:p w:rsidR="00000000" w:rsidDel="00000000" w:rsidP="00000000" w:rsidRDefault="00000000" w:rsidRPr="00000000" w14:paraId="0000006B">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Almacenar los binarios como BLOB en PostgreSQL — descartada: degrada el rendimiento del motor relacional y complica los backups del núcleo transaccional.</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Servicio de almacenamiento de objetos en la nube pública (S3 de AWS) — descartada para el MVP: contradice la decisión de infraestructura on-premise de costo cero (ADR-016) vigente para esta fase.</w:t>
      </w:r>
    </w:p>
    <w:p w:rsidR="00000000" w:rsidDel="00000000" w:rsidP="00000000" w:rsidRDefault="00000000" w:rsidRPr="00000000" w14:paraId="0000006E">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Cumple RN-006 (inmutabilidad de evidencias) y RES-01 (auditabilidad) con un control técnico (object lock), no solo un control de proceso.</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Compatible con la API de S3, lo que facilita una eventual migración a un proveedor cloud equivalente sin reescribir el código de acceso a objetos.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Introduce un componente de infraestructura adicional (MinIO) a operar y respaldar dentro del clúster K3s — su estrategia de backup queda pendiente (Documento de Infraestructura §10: “MinIO: por definir”).</w:t>
      </w:r>
    </w:p>
    <w:p w:rsidR="00000000" w:rsidDel="00000000" w:rsidP="00000000" w:rsidRDefault="00000000" w:rsidRPr="00000000" w14:paraId="00000072">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SAD V2 §8.3; Documento de Arquitectura de Infraestructura §3 (componente Storage/MinIO), §7; DD V2 (colección Verification).</w:t>
      </w:r>
      <w:r w:rsidDel="00000000" w:rsidR="00000000" w:rsidRPr="00000000">
        <w:rPr>
          <w:rtl w:val="0"/>
        </w:rPr>
      </w:r>
    </w:p>
    <w:p w:rsidR="00000000" w:rsidDel="00000000" w:rsidP="00000000" w:rsidRDefault="00000000" w:rsidRPr="00000000" w14:paraId="00000073">
      <w:pPr>
        <w:pStyle w:val="Heading2"/>
        <w:spacing w:after="120" w:before="260" w:lineRule="auto"/>
        <w:rPr>
          <w:rFonts w:ascii="Times New Roman" w:cs="Times New Roman" w:eastAsia="Times New Roman" w:hAnsi="Times New Roman"/>
          <w:color w:val="000000"/>
        </w:rPr>
      </w:pPr>
      <w:r w:rsidDel="00000000" w:rsidR="00000000" w:rsidRPr="00000000">
        <w:rPr>
          <w:rFonts w:ascii="Cardo" w:cs="Cardo" w:eastAsia="Cardo" w:hAnsi="Cardo"/>
          <w:color w:val="000000"/>
          <w:rtl w:val="0"/>
        </w:rPr>
        <w:t xml:space="preserve">ADR-024 — Sincronización PostgreSQL ↔ MongoDB mediante Transactional Outbox y eventos mínimos (Thin Events) sobre Kafka</w:t>
      </w:r>
    </w:p>
    <w:p w:rsidR="00000000" w:rsidDel="00000000" w:rsidP="00000000" w:rsidRDefault="00000000" w:rsidRPr="00000000" w14:paraId="00000074">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 — formaliza y detalla el mecanismo ya esbozado en ADR-010 (Sprint 1)</w:t>
      </w:r>
    </w:p>
    <w:p w:rsidR="00000000" w:rsidDel="00000000" w:rsidP="00000000" w:rsidRDefault="00000000" w:rsidRPr="00000000" w14:paraId="00000075">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7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ADR-010 mencionó de forma breve un patrón Outbox para sincronizar PostgreSQL y MongoDB; el SAD V2 lo especifica en detalle como parte de la Arquitectura de Datos, junto con la decisión de que el evento publicado no lleve el objeto completo.</w:t>
      </w:r>
    </w:p>
    <w:p w:rsidR="00000000" w:rsidDel="00000000" w:rsidP="00000000" w:rsidRDefault="00000000" w:rsidRPr="00000000" w14:paraId="00000077">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78">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transición transaccional que deba reflejarse en una colección MongoDB de otro microservicio escribe, dentro de la misma transacción local de PostgreSQL, un registro en una tabla OUTBOX; un proceso desatendido detecta ese registro y publica en Kafka un evento mínimo (“thin event”) que contiene únicamente la colección de destino y el identificador del recurso, nunca el objeto completo. El microservicio consumidor solicita el detalle, si lo necesita, mediante la API de lectura del microservicio propietario (patrón pull, no push).</w:t>
      </w:r>
    </w:p>
    <w:p w:rsidR="00000000" w:rsidDel="00000000" w:rsidP="00000000" w:rsidRDefault="00000000" w:rsidRPr="00000000" w14:paraId="00000079">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Publicar el objeto completo en el evento (“fat event”) — descartada: duplica la fuente de verdad entre el emisor y cada consumidor, y acopla el contrato del evento a cada cambio de esquema de la tabla de origen.</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Transacción distribuida (two-phase commit) entre PostgreSQL y MongoDB — descartada: no soportada de forma nativa y de mayor complejidad operativa que la consistencia eventual con compensación.</w:t>
      </w:r>
    </w:p>
    <w:p w:rsidR="00000000" w:rsidDel="00000000" w:rsidP="00000000" w:rsidRDefault="00000000" w:rsidRPr="00000000" w14:paraId="0000007C">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Evita la duplicación de la fuente de verdad entre motores de persistencia distintos.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Desacopla el contrato del evento de la evolución del esquema de la tabla de origen.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Introduce consistencia eventual entre PostgreSQL y MongoDB, con una ventana de propagación no nula.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Requiere un proceso de reconciliación periódico para detectar referencias huérfanas producidas por fallos de red (ver ADR-025).</w:t>
      </w:r>
    </w:p>
    <w:p w:rsidR="00000000" w:rsidDel="00000000" w:rsidP="00000000" w:rsidRDefault="00000000" w:rsidRPr="00000000" w14:paraId="00000081">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SAD V2 §8.4, §x.2–x.3 (Arquitectura de Datos); Documento de Infraestructura §3 (componente Kafka/Debezium); ADR-010 (Sprint 1).</w:t>
      </w:r>
      <w:r w:rsidDel="00000000" w:rsidR="00000000" w:rsidRPr="00000000">
        <w:rPr>
          <w:rtl w:val="0"/>
        </w:rPr>
      </w:r>
    </w:p>
    <w:p w:rsidR="00000000" w:rsidDel="00000000" w:rsidP="00000000" w:rsidRDefault="00000000" w:rsidRPr="00000000" w14:paraId="00000082">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ADR-025 — Consistencia del flujo de creación y pago de un Servicio mediante Saga coreografiada con idempotencia y compensación explícita</w:t>
      </w:r>
    </w:p>
    <w:p w:rsidR="00000000" w:rsidDel="00000000" w:rsidP="00000000" w:rsidRDefault="00000000" w:rsidRPr="00000000" w14:paraId="0000008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w:t>
      </w:r>
    </w:p>
    <w:p w:rsidR="00000000" w:rsidDel="00000000" w:rsidP="00000000" w:rsidRDefault="00000000" w:rsidRPr="00000000" w14:paraId="00000084">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8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de creación de un Servicio involucra al menos cuatro microservicios (Gestión de Servicios/Pagos, Descubridor, Mensajería, Calificaciones), cada uno dueño exclusivo de su persistencia (ADR-015, ADR-022), sin una transacción distribuida única disponible entre PostgreSQL y MongoDB (ver ADR-024).</w:t>
      </w:r>
    </w:p>
    <w:p w:rsidR="00000000" w:rsidDel="00000000" w:rsidP="00000000" w:rsidRDefault="00000000" w:rsidRPr="00000000" w14:paraId="00000086">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87">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flujo de creación, confirmación y cierre de un Servicio se coordina mediante una Saga coreografiada: cada microservicio reacciona a eventos publicados por otros y publica sus propios eventos, sin un orquestador central que mantenga el estado completo de la transacción. La idempotencia del paso de cobro se garantiza mediante un campo idempotency_key en la colección Payment. Ante un fallo de pago posterior a la confirmación del servicio, se ejecuta una transacción compensatoria explícita (SERVICIO.estado = CANCELADO), nunca un rollback físico cruzado entre motores. Un proceso de reconciliación periódico compara servicio.payment_ref contra payment_id para detectar referencias huérfanas.</w:t>
      </w:r>
    </w:p>
    <w:p w:rsidR="00000000" w:rsidDel="00000000" w:rsidP="00000000" w:rsidRDefault="00000000" w:rsidRPr="00000000" w14:paraId="00000088">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Saga orquestada (con un coordinador central que invoque explícitamente cada paso) — no se adopta en esta versión: el SAD V2 describe el flujo como coreografiado (reacción a eventos), sin un componente orquestador central para este flujo específico. Nota: esto no contradice por sí solo la existencia de un microservicio “Orquestador” en el mapa de dominios de la wiki técnica, cuyo alcance exacto frente a esta Saga queda pendiente de aclarar (ver sección de Contradicciones).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Transacción distribuida única — descartada, ver ADR-024.</w:t>
      </w:r>
    </w:p>
    <w:p w:rsidR="00000000" w:rsidDel="00000000" w:rsidP="00000000" w:rsidRDefault="00000000" w:rsidRPr="00000000" w14:paraId="0000008B">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Evita un punto único de fallo/coordinación para este flujo.</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La compensación explícita evita dejar el Servicio en un estado inconsistente ante un fallo de pago.</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La lógica del flujo queda distribuida entre varios microservicios en lugar de centralizada, lo que dificulta razonar sobre el flujo completo sin documentación actualizada (este ADR y el SAD V2 cumplen ese rol).</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Depende de que la reconciliación periódica se implemente y se pruebe; a la fecha de este documento no se especifica su frecuencia.</w:t>
      </w:r>
    </w:p>
    <w:p w:rsidR="00000000" w:rsidDel="00000000" w:rsidP="00000000" w:rsidRDefault="00000000" w:rsidRPr="00000000" w14:paraId="00000090">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SAD V2 §8.4, §x.3–x.4 (Flujo de Interacción: Creación de Servicio y Pago; Estrategia de Coherencia); DD V2 §2.2.6 (tabla SERVICIO).</w:t>
      </w:r>
      <w:r w:rsidDel="00000000" w:rsidR="00000000" w:rsidRPr="00000000">
        <w:rPr>
          <w:rtl w:val="0"/>
        </w:rPr>
      </w:r>
    </w:p>
    <w:p w:rsidR="00000000" w:rsidDel="00000000" w:rsidP="00000000" w:rsidRDefault="00000000" w:rsidRPr="00000000" w14:paraId="00000091">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 Decisiones de infraestructura y despliegue (ADR-026 a ADR-031)</w:t>
      </w:r>
    </w:p>
    <w:p w:rsidR="00000000" w:rsidDel="00000000" w:rsidP="00000000" w:rsidRDefault="00000000" w:rsidRPr="00000000" w14:paraId="00000092">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ADR-026 — Topología de infraestructura on-premise K3s con separación física de Workers por ambiente (QA/Producción)</w:t>
      </w:r>
    </w:p>
    <w:p w:rsidR="00000000" w:rsidDel="00000000" w:rsidP="00000000" w:rsidRDefault="00000000" w:rsidRPr="00000000" w14:paraId="00000093">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 — formaliza y detalla ADR-016 (Sprint 1), que dejaba K3s en anillo “Probar”</w:t>
      </w:r>
    </w:p>
    <w:p w:rsidR="00000000" w:rsidDel="00000000" w:rsidP="00000000" w:rsidRDefault="00000000" w:rsidRPr="00000000" w14:paraId="00000094">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95">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ADR-016 adoptó infraestructura on-premise con Docker + Terraform/Ansible y dejó K3s en evaluación activa como orquestador, sin definir aún su topología concreta ni la separación entre ambientes. El Documento de Arquitectura de Infraestructura especifica un clúster K3s de ocho máquinas virtuales.</w:t>
      </w:r>
    </w:p>
    <w:p w:rsidR="00000000" w:rsidDel="00000000" w:rsidP="00000000" w:rsidRDefault="00000000" w:rsidRPr="00000000" w14:paraId="00000096">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97">
      <w:pPr>
        <w:spacing w:after="140" w:lineRule="auto"/>
        <w:rPr>
          <w:rFonts w:ascii="Times New Roman" w:cs="Times New Roman" w:eastAsia="Times New Roman" w:hAnsi="Times New Roman"/>
        </w:rPr>
      </w:pPr>
      <w:r w:rsidDel="00000000" w:rsidR="00000000" w:rsidRPr="00000000">
        <w:rPr>
          <w:rFonts w:ascii="Cardo" w:cs="Cardo" w:eastAsia="Cardo" w:hAnsi="Cardo"/>
          <w:rtl w:val="0"/>
        </w:rPr>
        <w:t xml:space="preserve">La plataforma se despliega sobre un único clúster K3s de ocho VM (un Control Plane y siete Workers), con los Workers asignados funcionalmente a QA/Test (VM-02 a VM-04) y a Producción (VM-05 a VM-08) mediante una combinación de namespaces, labels, taints/tolerations, node affinity, RBAC y NetworkPolicies — nunca namespaces por sí solos. El acceso externo entra por WAF (gestionado por la red) → Reverse Proxy → Traefik.</w:t>
      </w:r>
    </w:p>
    <w:p w:rsidR="00000000" w:rsidDel="00000000" w:rsidP="00000000" w:rsidRDefault="00000000" w:rsidRPr="00000000" w14:paraId="00000098">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Clústeres K3s separados por ambiente (uno para QA, otro para Producción) — descartada por el diseño actual: implicaría duplicar el Control Plane y la infraestructura administrativa sin presupuesto adicional (RES-12).</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Namespaces como único mecanismo de aislamiento, sin separación de Workers — descartada explícitamente por el documento de infraestructura: “la separación QA/Producción no debe depender únicamente del namespace”.</w:t>
      </w:r>
    </w:p>
    <w:p w:rsidR="00000000" w:rsidDel="00000000" w:rsidP="00000000" w:rsidRDefault="00000000" w:rsidRPr="00000000" w14:paraId="0000009B">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Permite operar QA y Producción sobre presupuesto de infraestructura acotado, con aislamiento reforzado en múltiples capas.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Deja una ruta de migración a GCP (GKE/Cloud SQL) definida como cambio de módulos de Terraform, sin reescritura de microservicios.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El clúster mantiene un único Control Plane: su pérdida limita la administración y el scheduling del clúster completo (la alta disponibilidad del plano de control queda como evolución futura, no resuelta en este Sprint).</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QA y Producción comparten el mismo clúster físico, por lo que la seguridad del aislamiento depende enteramente de la correcta combinación de los controles listados, no de una separación física de clústeres.</w:t>
      </w:r>
    </w:p>
    <w:p w:rsidR="00000000" w:rsidDel="00000000" w:rsidP="00000000" w:rsidRDefault="00000000" w:rsidRPr="00000000" w14:paraId="000000A0">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Documento de Arquitectura de Infraestructura §2, §4, §16; ADR-016 (Sprint 1); wiki: 03-decisiones-arquitectura/plataforma-infraestructura/kubernetes.md.</w:t>
      </w:r>
      <w:r w:rsidDel="00000000" w:rsidR="00000000" w:rsidRPr="00000000">
        <w:rPr>
          <w:rtl w:val="0"/>
        </w:rPr>
      </w:r>
    </w:p>
    <w:p w:rsidR="00000000" w:rsidDel="00000000" w:rsidP="00000000" w:rsidRDefault="00000000" w:rsidRPr="00000000" w14:paraId="000000A1">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ADR-027 — Traefik como API Gateway / Ingress único del clúster</w:t>
      </w:r>
    </w:p>
    <w:p w:rsidR="00000000" w:rsidDel="00000000" w:rsidP="00000000" w:rsidRDefault="00000000" w:rsidRPr="00000000" w14:paraId="000000A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 — resuelve la disyuntiva “Kong o Traefik” dejada abierta en el SAD V2</w:t>
      </w:r>
    </w:p>
    <w:p w:rsidR="00000000" w:rsidDel="00000000" w:rsidP="00000000" w:rsidRDefault="00000000" w:rsidRPr="00000000" w14:paraId="000000A3">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A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SAD V2 (§8.1) menciona “Kong o Traefik” como alternativas para el API Gateway sin decidir entre ambas. El Documento de Arquitectura de Infraestructura, más detallado en este punto, especifica Traefik de forma explícita en el diagrama de componentes y en el flujo de entrada.</w:t>
      </w:r>
    </w:p>
    <w:p w:rsidR="00000000" w:rsidDel="00000000" w:rsidP="00000000" w:rsidRDefault="00000000" w:rsidRPr="00000000" w14:paraId="000000A5">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A6">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Traefik es el API Gateway / Ingress único del clúster K3s, ubicado detrás de un Reverse Proxy y un WAF gestionados por el equipo de red. Traefik publica únicamente rutas y servicios explícitamente autorizados; ningún servicio interno queda expuesto directamente a Internet.</w:t>
      </w:r>
    </w:p>
    <w:p w:rsidR="00000000" w:rsidDel="00000000" w:rsidP="00000000" w:rsidRDefault="00000000" w:rsidRPr="00000000" w14:paraId="000000A7">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Kong — mencionado como alternativa en el SAD V2, no elegido: el Documento de Infraestructura, que detalla el componente a nivel de despliegue, especifica Traefik de forma concreta.</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Exposición directa de microservicios sin gateway único — descartada explícitamente por la política de “ningún servicio interno expuesto directamente a Internet”.</w:t>
      </w:r>
    </w:p>
    <w:p w:rsidR="00000000" w:rsidDel="00000000" w:rsidP="00000000" w:rsidRDefault="00000000" w:rsidRPr="00000000" w14:paraId="000000AA">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Cierra la disyuntiva abierta en el SAD V2 con una decisión concreta y desplegable.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Traefik se integra de forma nativa con K3s (Ingress Controller), reduciendo la complejidad de configuración frente a un gateway externo al ecosistema Kubernetes.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Introduce a Traefik como punto único de enrutamiento: su disponibilidad condiciona la de todo el tráfico externo hacia la plataforma, reforzando la importancia de las reglas de entrada/salida documentadas por servicio.</w:t>
      </w:r>
    </w:p>
    <w:p w:rsidR="00000000" w:rsidDel="00000000" w:rsidP="00000000" w:rsidRDefault="00000000" w:rsidRPr="00000000" w14:paraId="000000AE">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Documento de Arquitectura de Infraestructura §2, §3, §5.1; SAD V2 §8.1.</w:t>
      </w:r>
      <w:r w:rsidDel="00000000" w:rsidR="00000000" w:rsidRPr="00000000">
        <w:rPr>
          <w:rtl w:val="0"/>
        </w:rPr>
      </w:r>
    </w:p>
    <w:p w:rsidR="00000000" w:rsidDel="00000000" w:rsidP="00000000" w:rsidRDefault="00000000" w:rsidRPr="00000000" w14:paraId="000000AF">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ADR-028 — HashiCorp Vault como gestor centralizado de secretos en tiempo de ejecución</w:t>
      </w:r>
    </w:p>
    <w:p w:rsidR="00000000" w:rsidDel="00000000" w:rsidP="00000000" w:rsidRDefault="00000000" w:rsidRPr="00000000" w14:paraId="000000B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 — mecanismo previsto; integración técnica con K3s pendiente de definir</w:t>
      </w:r>
    </w:p>
    <w:p w:rsidR="00000000" w:rsidDel="00000000" w:rsidP="00000000" w:rsidRDefault="00000000" w:rsidRPr="00000000" w14:paraId="000000B1">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B2">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microservicios de Fixia requieren credenciales de base de datos, tokens de servicios y certificados. Sin un gestor centralizado, el riesgo es que estos secretos terminen en Kubernetes Secrets sin cifrado adicional, en variables de entorno, o en el repositorio Git.</w:t>
      </w:r>
    </w:p>
    <w:p w:rsidR="00000000" w:rsidDel="00000000" w:rsidP="00000000" w:rsidRDefault="00000000" w:rsidRPr="00000000" w14:paraId="000000B3">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B4">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HashiCorp Vault es el componente responsable de credenciales de bases de datos, tokens de servicios y certificados en tiempo de ejecución. GitHub Secrets se limita a los secretos estrictamente necesarios para GitHub Actions, registries y runners — no es el almacén general de secretos de las aplicaciones. El uso directo de Kubernetes Secrets se limita, evitando que se conviertan en el repositorio primario de secretos sensibles. Las credenciales se separan por ambiente (DEV, QA y Producción no reutilizan el mismo secreto) y nunca se almacenan en repositorios Git ni en imágenes Docker.</w:t>
      </w:r>
    </w:p>
    <w:p w:rsidR="00000000" w:rsidDel="00000000" w:rsidP="00000000" w:rsidRDefault="00000000" w:rsidRPr="00000000" w14:paraId="000000B5">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Kubernetes Secrets como único mecanismo — descartada como estándar general: no ofrece por sí sola rotación centralizada ni el nivel de control de acceso que exige el dato más sensible del sistema (pagos, identidad).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GitHub Secrets como almacén general — descartada: expone el ciclo de vida del secreto al pipeline de CI/CD en lugar de al runtime de la aplicación.</w:t>
      </w:r>
    </w:p>
    <w:p w:rsidR="00000000" w:rsidDel="00000000" w:rsidP="00000000" w:rsidRDefault="00000000" w:rsidRPr="00000000" w14:paraId="000000B8">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Centraliza la gestión de secretos con separación estricta por ambiente.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Reduce el riesgo de fuga de credenciales en Git o en imágenes Docker.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El mecanismo concreto de integración entre K3s y Vault (cómo un pod obtiene el secreto en tiempo de arranque o de ejecución) queda pendiente de definir — listado explícitamente como decisión pendiente (ADR-04 sugerido) en el propio Documento de Infraestructura.</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Vault se suma a la lista de componentes cuya estrategia de backup y recuperación está aún en diseño.</w:t>
      </w:r>
    </w:p>
    <w:p w:rsidR="00000000" w:rsidDel="00000000" w:rsidP="00000000" w:rsidRDefault="00000000" w:rsidRPr="00000000" w14:paraId="000000BD">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Documento de Arquitectura de Infraestructura §6, §14 (ADR-04 sugerido); wiki: 10-seguridad-datos/gestion-secretos.md.</w:t>
      </w:r>
      <w:r w:rsidDel="00000000" w:rsidR="00000000" w:rsidRPr="00000000">
        <w:rPr>
          <w:rtl w:val="0"/>
        </w:rPr>
      </w:r>
    </w:p>
    <w:p w:rsidR="00000000" w:rsidDel="00000000" w:rsidP="00000000" w:rsidRDefault="00000000" w:rsidRPr="00000000" w14:paraId="000000BE">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ADR-029 — Promoción de artefactos inmutable por digest entre QA y Producción, con versionado independiente por microservicio</w:t>
      </w:r>
    </w:p>
    <w:p w:rsidR="00000000" w:rsidDel="00000000" w:rsidP="00000000" w:rsidRDefault="00000000" w:rsidRPr="00000000" w14:paraId="000000B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w:t>
      </w:r>
    </w:p>
    <w:p w:rsidR="00000000" w:rsidDel="00000000" w:rsidP="00000000" w:rsidRDefault="00000000" w:rsidRPr="00000000" w14:paraId="000000C0">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C1">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más de un microservicio desplegándose de forma independiente, existe el riesgo de que QA y Producción terminen ejecutando builds distintos para un mismo release nominal, dificultando la trazabilidad ante un incidente.</w:t>
      </w:r>
    </w:p>
    <w:p w:rsidR="00000000" w:rsidDel="00000000" w:rsidP="00000000" w:rsidRDefault="00000000" w:rsidRPr="00000000" w14:paraId="000000C2">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C3">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artefacto (imagen Docker) validado en QA es el mismo artefacto que se promueve a Producción, identificado por su digest SHA-256 — nunca se reconstruye una imagen distinta para el mismo release. La configuración específica de cada ambiente se mantiene separada del artefacto. Cada microservicio se versiona y promueve de forma independiente; una versión que falla en QA no se promueve a Producción, y los rollbacks apuntan a un digest previamente conocido.</w:t>
      </w:r>
    </w:p>
    <w:p w:rsidR="00000000" w:rsidDel="00000000" w:rsidP="00000000" w:rsidRDefault="00000000" w:rsidRPr="00000000" w14:paraId="000000C4">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Reconstruir la imagen para Producción a partir del mismo código fuente — descartada explícitamente: dos builds distintos del mismo commit pueden diferir por cambios en dependencias no fijadas, rompiendo la garantía de que lo probado es lo que se despliega.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Versión global única de la plataforma (todos los microservicios en la misma versión) — descartada: obligaría a redesplegar todo el sistema ante un cambio de un único microservicio.</w:t>
      </w:r>
    </w:p>
    <w:p w:rsidR="00000000" w:rsidDel="00000000" w:rsidP="00000000" w:rsidRDefault="00000000" w:rsidRPr="00000000" w14:paraId="000000C7">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Garantiza que el comportamiento validado en QA es exactamente el que llega a Producción.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Permite que cada equipo/microservicio avance a su propio ritmo sin coordinar una versión global.</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sz w:val="22"/>
          <w:szCs w:val="22"/>
          <w:u w:val="none"/>
          <w:shd w:fill="auto" w:val="clear"/>
          <w:vertAlign w:val="baseline"/>
          <w:rtl w:val="0"/>
        </w:rPr>
        <w:t xml:space="preserve">(-) Exige disciplina de pipeline (nunca reconstruir) y trazabilidad completa commit → build → imagen → digest → despliegue QA → aprobación → despliegue Producción, documentada y auditable.</w:t>
      </w:r>
    </w:p>
    <w:p w:rsidR="00000000" w:rsidDel="00000000" w:rsidP="00000000" w:rsidRDefault="00000000" w:rsidRPr="00000000" w14:paraId="000000CB">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Documento de Arquitectura de Infraestructura §8.1, §8.2, §11.</w:t>
      </w:r>
      <w:r w:rsidDel="00000000" w:rsidR="00000000" w:rsidRPr="00000000">
        <w:rPr>
          <w:rtl w:val="0"/>
        </w:rPr>
      </w:r>
    </w:p>
    <w:p w:rsidR="00000000" w:rsidDel="00000000" w:rsidP="00000000" w:rsidRDefault="00000000" w:rsidRPr="00000000" w14:paraId="000000CC">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ADR-030 — Runners de CI/CD separados por ambiente (QA / Producción)</w:t>
      </w:r>
    </w:p>
    <w:p w:rsidR="00000000" w:rsidDel="00000000" w:rsidP="00000000" w:rsidRDefault="00000000" w:rsidRPr="00000000" w14:paraId="000000CD">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 — diseño propuesto, pendiente de verificación operativa</w:t>
      </w:r>
    </w:p>
    <w:p w:rsidR="00000000" w:rsidDel="00000000" w:rsidP="00000000" w:rsidRDefault="00000000" w:rsidRPr="00000000" w14:paraId="000000CE">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C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runner self-hosted de GitHub Actions con permisos amplios sobre el clúster es una vía potencial de escalamiento de privilegios si no se limita por ambiente.</w:t>
      </w:r>
    </w:p>
    <w:p w:rsidR="00000000" w:rsidDel="00000000" w:rsidP="00000000" w:rsidRDefault="00000000" w:rsidRPr="00000000" w14:paraId="000000D0">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D1">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utilizan runners self-hosted separados para QA y Producción, cada uno con acceso únicamente al namespace/recursos de su propio ambiente y con credenciales y ServiceAccounts independientes. Ninguna credencial única tiene permisos de cluster-admin sobre ambos ambientes; las reglas de aprobación del pipeline impiden que una ejecución destinada a QA despliegue accidentalmente en Producción.</w:t>
      </w:r>
    </w:p>
    <w:p w:rsidR="00000000" w:rsidDel="00000000" w:rsidP="00000000" w:rsidRDefault="00000000" w:rsidRPr="00000000" w14:paraId="000000D2">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 único runner con acceso a ambos ambientes, diferenciado solo por variables del pipeline — descartada explícitamente: el propio documento de infraestructura señala que “la protección real debe estar también en Kubernetes mediante RBAC... no debe depender únicamente de una variable del pipeline”.</w:t>
      </w:r>
    </w:p>
    <w:p w:rsidR="00000000" w:rsidDel="00000000" w:rsidP="00000000" w:rsidRDefault="00000000" w:rsidRPr="00000000" w14:paraId="000000D4">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Reduce el alcance de credenciales y el impacto de un runner comprometido.</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La separación de runners se refuerza con RBAC en Kubernetes, no solo con configuración de CI.</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Duplica la infraestructura de runners a mantener (uno por ambiente como mínimo).</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El diseño de la separación de runners está marcado como “diseño propuesto” en el Documento de Infraestructura — su implementación final y pruebas quedan pendientes de verificación (ADR-07 sugerido en esa fuente).</w:t>
      </w:r>
    </w:p>
    <w:p w:rsidR="00000000" w:rsidDel="00000000" w:rsidP="00000000" w:rsidRDefault="00000000" w:rsidRPr="00000000" w14:paraId="000000D9">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Documento de Arquitectura de Infraestructura §8.3, §14 (ADR-07 sugerido).</w:t>
      </w:r>
      <w:r w:rsidDel="00000000" w:rsidR="00000000" w:rsidRPr="00000000">
        <w:rPr>
          <w:rtl w:val="0"/>
        </w:rPr>
      </w:r>
    </w:p>
    <w:p w:rsidR="00000000" w:rsidDel="00000000" w:rsidP="00000000" w:rsidRDefault="00000000" w:rsidRPr="00000000" w14:paraId="000000DA">
      <w:pPr>
        <w:pStyle w:val="Heading2"/>
        <w:spacing w:after="120" w:before="2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ADR-031 — Observabilidad estándar con Prometheus, Grafana, Loki y Alertmanager</w:t>
      </w:r>
    </w:p>
    <w:p w:rsidR="00000000" w:rsidDel="00000000" w:rsidP="00000000" w:rsidRDefault="00000000" w:rsidRPr="00000000" w14:paraId="000000D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Aceptado</w:t>
      </w:r>
    </w:p>
    <w:p w:rsidR="00000000" w:rsidDel="00000000" w:rsidP="00000000" w:rsidRDefault="00000000" w:rsidRPr="00000000" w14:paraId="000000DC">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Contexto</w:t>
      </w:r>
      <w:r w:rsidDel="00000000" w:rsidR="00000000" w:rsidRPr="00000000">
        <w:rPr>
          <w:rtl w:val="0"/>
        </w:rPr>
      </w:r>
    </w:p>
    <w:p w:rsidR="00000000" w:rsidDel="00000000" w:rsidP="00000000" w:rsidRDefault="00000000" w:rsidRPr="00000000" w14:paraId="000000DD">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plataforma necesita visibilidad de infraestructura, Kubernetes y aplicación para diagnosticar incidentes y verificar el comportamiento posterior a cada despliegue (ver ADR-029).</w:t>
      </w:r>
    </w:p>
    <w:p w:rsidR="00000000" w:rsidDel="00000000" w:rsidP="00000000" w:rsidRDefault="00000000" w:rsidRPr="00000000" w14:paraId="000000DE">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Decisión</w:t>
      </w:r>
      <w:r w:rsidDel="00000000" w:rsidR="00000000" w:rsidRPr="00000000">
        <w:rPr>
          <w:rtl w:val="0"/>
        </w:rPr>
      </w:r>
    </w:p>
    <w:p w:rsidR="00000000" w:rsidDel="00000000" w:rsidP="00000000" w:rsidRDefault="00000000" w:rsidRPr="00000000" w14:paraId="000000DF">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Prometheus se adopta para métricas (infraestructura, Kubernetes y aplicación), Grafana para dashboards y visualización, Loki para centralización de logs, y Alertmanager para el enrutamiento y agrupación de alertas. El canal final de notificación de alertas queda abierto a una evolución posterior (candidato: Telegram).</w:t>
      </w:r>
    </w:p>
    <w:p w:rsidR="00000000" w:rsidDel="00000000" w:rsidP="00000000" w:rsidRDefault="00000000" w:rsidRPr="00000000" w14:paraId="000000E0">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Alternativas consideradas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Evaluar alternativas de almacenamiento de logs distintas a Loki — mencionado como evaluación futura en el propio documento de infraestructura, no como un cambio requerido en este Sprint.</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No se documentan otras alternativas descartadas para Prometheus/Grafana en las fuentes disponibles.</w:t>
      </w:r>
    </w:p>
    <w:p w:rsidR="00000000" w:rsidDel="00000000" w:rsidP="00000000" w:rsidRDefault="00000000" w:rsidRPr="00000000" w14:paraId="000000E3">
      <w:pPr>
        <w:spacing w:after="4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Pila de observabilidad coherente con el ecosistema Kubernetes/K3s ya elegido (Prometheus/Grafana son el estándar de facto, consistente con la wiki técnica).</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Cubre las tres señales necesarias para diagnosticar un despliegue: métricas, logs y alertas.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El canal de alertas definitivo no está decidido (pendiente, ADR-08 sugerido en el Documento de Infraestructura).</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 No hay todavía indicadores de negocio (más allá de infraestructura/Kubernetes) confirmados como parte del tablero de Grafana.</w:t>
      </w:r>
    </w:p>
    <w:p w:rsidR="00000000" w:rsidDel="00000000" w:rsidP="00000000" w:rsidRDefault="00000000" w:rsidRPr="00000000" w14:paraId="000000E8">
      <w:pPr>
        <w:spacing w:after="260" w:before="1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Referencias: </w:t>
      </w:r>
      <w:r w:rsidDel="00000000" w:rsidR="00000000" w:rsidRPr="00000000">
        <w:rPr>
          <w:rFonts w:ascii="Times New Roman" w:cs="Times New Roman" w:eastAsia="Times New Roman" w:hAnsi="Times New Roman"/>
          <w:i w:val="1"/>
          <w:iCs w:val="1"/>
          <w:rtl w:val="0"/>
        </w:rPr>
        <w:t xml:space="preserve">Documento de Arquitectura de Infraestructura §9, §14 (ADR-08 sugerido); wiki: 03-decisiones-arquitectura/herramientas/herramientas-complementarias.md (Grafana + Prometheus).</w:t>
      </w:r>
      <w:r w:rsidDel="00000000" w:rsidR="00000000" w:rsidRPr="00000000">
        <w:rPr>
          <w:rtl w:val="0"/>
        </w:rPr>
      </w:r>
    </w:p>
    <w:p w:rsidR="00000000" w:rsidDel="00000000" w:rsidP="00000000" w:rsidRDefault="00000000" w:rsidRPr="00000000" w14:paraId="000000E9">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 Estado de las contradicciones detectadas en el Sprint 1</w:t>
      </w:r>
    </w:p>
    <w:p w:rsidR="00000000" w:rsidDel="00000000" w:rsidP="00000000" w:rsidRDefault="00000000" w:rsidRPr="00000000" w14:paraId="000000EA">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a la luz de los documentos del Sprint 2, de las cuatro contradicciones que el Registro de Decisiones del Sprint 1 (§8) dejó pendientes de resolución.</w:t>
      </w:r>
    </w:p>
    <w:p w:rsidR="00000000" w:rsidDel="00000000" w:rsidP="00000000" w:rsidRDefault="00000000" w:rsidRPr="00000000" w14:paraId="000000EB">
      <w:pPr>
        <w:pStyle w:val="Heading3"/>
        <w:spacing w:after="100" w:before="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 Database per Service (ADR-015/ADR-022) vs. núcleo relacional compartido del DD V2</w:t>
      </w:r>
    </w:p>
    <w:p w:rsidR="00000000" w:rsidDel="00000000" w:rsidP="00000000" w:rsidRDefault="00000000" w:rsidRPr="00000000" w14:paraId="000000E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Avance parcial, no cerrada.</w:t>
      </w:r>
    </w:p>
    <w:p w:rsidR="00000000" w:rsidDel="00000000" w:rsidP="00000000" w:rsidRDefault="00000000" w:rsidRPr="00000000" w14:paraId="000000ED">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de Infraestructura formaliza bases de datos PostgreSQL separadas por microservicio (ADR-022), lo que apunta a resolver la Contradicción #1 del Sprint 1. Sin embargo, el DD V2 sigue documentando un único diagrama entidad-relación de siete tablas (USUARIO, CLIENTE, TECNICO, OPERACION, CATEGORIA, SERVICIO, HISTORIAL) con relaciones de clave foránea entre dominios distintos (Autenticación, Verificación, Gestión de Servicios/Pagos), sin aclarar si esas tablas conviven en una sola base de datos por custodio técnico o si se dividieron físicamente. Recomendación: el equipo debe precisar en la próxima revisión del DD o del SAD si el núcleo relacional se particiona por custodio técnico (alineado con ADR-022) o si se documenta como excepción deliberada.</w:t>
      </w:r>
    </w:p>
    <w:p w:rsidR="00000000" w:rsidDel="00000000" w:rsidP="00000000" w:rsidRDefault="00000000" w:rsidRPr="00000000" w14:paraId="000000EE">
      <w:pPr>
        <w:pStyle w:val="Heading3"/>
        <w:spacing w:after="100" w:before="20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Catálogo de microservicios inconsistente</w:t>
      </w:r>
    </w:p>
    <w:p w:rsidR="00000000" w:rsidDel="00000000" w:rsidP="00000000" w:rsidRDefault="00000000" w:rsidRPr="00000000" w14:paraId="000000EF">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 </w:t>
      </w:r>
      <w:r w:rsidDel="00000000" w:rsidR="00000000" w:rsidRPr="00000000">
        <w:rPr>
          <w:rFonts w:ascii="Times New Roman" w:cs="Times New Roman" w:eastAsia="Times New Roman" w:hAnsi="Times New Roman"/>
          <w:rtl w:val="0"/>
        </w:rPr>
        <w:t xml:space="preserve">Parcialmente resuelta, con una inconsistencia nueva detectada en las propias fuentes del Sprint 2.</w:t>
      </w:r>
    </w:p>
    <w:p w:rsidR="00000000" w:rsidDel="00000000" w:rsidP="00000000" w:rsidRDefault="00000000" w:rsidRPr="00000000" w14:paraId="000000F0">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ADR-021 alinea el lenguaje por defecto (Java) con el catálogo de microservicios del SAD V2, resolviendo la incoherencia original de lenguaje señalada en el Sprint 1. No obstante, se detectó una inconsistencia nueva: el SAD V2 lista seis microservicios de negocio (ms-usuarios, ms-tecnicos, ms-servicios, ms-comunicacion, ms-pagos, ms-matching-geo), mientras que el Documento de Infraestructura lista siete con nombres distintos (ms-users, ms-auth-grading, ms-services, ms-pago, ms-communication, ms-ingesta-lakehouse, ms-matching-geo). Ninguno de los dos documentos referencia al microservicio Orquestador del mapa de dominios de la wiki técnica. Recomendación: unificar el nombre y el número oficial de microservicios entre el SAD V2 y el Documento de Infraestructura antes de crear los repositorios definitivos, y aclarar el rol del Orquestador frente a la Saga coreografiada de ADR-025.</w:t>
      </w:r>
    </w:p>
    <w:p w:rsidR="00000000" w:rsidDel="00000000" w:rsidP="00000000" w:rsidRDefault="00000000" w:rsidRPr="00000000" w14:paraId="000000F1">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 Decisiones pendientes (no formalizadas como ADR en este Sprint)</w:t>
      </w:r>
    </w:p>
    <w:p w:rsidR="00000000" w:rsidDel="00000000" w:rsidP="00000000" w:rsidRDefault="00000000" w:rsidRPr="00000000" w14:paraId="000000F2">
      <w:pPr>
        <w:spacing w:after="1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Documento de Arquitectura de Infraestructura enumera explícitamente los siguientes puntos como decisiones aún no cerradas. Se listan aquí sin forzar una decisión que las fuentes disponibles no respaldan; cada una debería derivar en un ADR propio antes de considerar la plataforma lista para Producción.</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5080"/>
        <w:tblGridChange w:id="0">
          <w:tblGrid>
            <w:gridCol w:w="3200"/>
            <w:gridCol w:w="1800"/>
            <w:gridCol w:w="5080"/>
          </w:tblGrid>
        </w:tblGridChange>
      </w:tblGrid>
      <w:tr>
        <w:trPr>
          <w:cantSplit w:val="0"/>
          <w:tblHeader w:val="1"/>
        </w:trPr>
        <w:tc>
          <w:tcPr>
            <w:shd w:fill="d9d9d9" w:val="clear"/>
            <w:tcMar>
              <w:top w:w="80.0" w:type="dxa"/>
              <w:left w:w="100.0" w:type="dxa"/>
              <w:bottom w:w="80.0" w:type="dxa"/>
              <w:right w:w="100.0" w:type="dxa"/>
            </w:tcMar>
          </w:tcPr>
          <w:p w:rsidR="00000000" w:rsidDel="00000000" w:rsidP="00000000" w:rsidRDefault="00000000" w:rsidRPr="00000000" w14:paraId="000000F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Elemento a definir</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F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Estado</w:t>
            </w:r>
            <w:r w:rsidDel="00000000" w:rsidR="00000000" w:rsidRPr="00000000">
              <w:rPr>
                <w:rtl w:val="0"/>
              </w:rPr>
            </w:r>
          </w:p>
        </w:tc>
        <w:tc>
          <w:tcPr>
            <w:shd w:fill="d9d9d9" w:val="clear"/>
            <w:tcMar>
              <w:top w:w="80.0" w:type="dxa"/>
              <w:left w:w="100.0" w:type="dxa"/>
              <w:bottom w:w="80.0" w:type="dxa"/>
              <w:right w:w="100.0" w:type="dxa"/>
            </w:tcMar>
          </w:tcPr>
          <w:p w:rsidR="00000000" w:rsidDel="00000000" w:rsidP="00000000" w:rsidRDefault="00000000" w:rsidRPr="00000000" w14:paraId="000000F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Resultado esperado</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Estrategia de backup de PostgreSQL/MongoDB</w:t>
            </w:r>
          </w:p>
        </w:tc>
        <w:tc>
          <w:tcPr>
            <w:tcMar>
              <w:top w:w="80.0" w:type="dxa"/>
              <w:left w:w="100.0" w:type="dxa"/>
              <w:bottom w:w="80.0" w:type="dxa"/>
              <w:right w:w="100.0" w:type="dxa"/>
            </w:tcMar>
          </w:tcPr>
          <w:p w:rsidR="00000000" w:rsidDel="00000000" w:rsidP="00000000" w:rsidRDefault="00000000" w:rsidRPr="00000000" w14:paraId="000000F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diseño</w:t>
            </w:r>
          </w:p>
        </w:tc>
        <w:tc>
          <w:tcPr>
            <w:tcMar>
              <w:top w:w="80.0" w:type="dxa"/>
              <w:left w:w="100.0" w:type="dxa"/>
              <w:bottom w:w="80.0" w:type="dxa"/>
              <w:right w:w="100.0" w:type="dxa"/>
            </w:tcMar>
          </w:tcPr>
          <w:p w:rsidR="00000000" w:rsidDel="00000000" w:rsidP="00000000" w:rsidRDefault="00000000" w:rsidRPr="00000000" w14:paraId="000000F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Frecuencia, retención, almacenamiento y restore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RPO/RTO de Producción</w:t>
            </w:r>
          </w:p>
        </w:tc>
        <w:tc>
          <w:tcPr>
            <w:tcMar>
              <w:top w:w="80.0" w:type="dxa"/>
              <w:left w:w="100.0" w:type="dxa"/>
              <w:bottom w:w="80.0" w:type="dxa"/>
              <w:right w:w="100.0" w:type="dxa"/>
            </w:tcMar>
          </w:tcPr>
          <w:p w:rsidR="00000000" w:rsidDel="00000000" w:rsidP="00000000" w:rsidRDefault="00000000" w:rsidRPr="00000000" w14:paraId="000000F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Mar>
              <w:top w:w="80.0" w:type="dxa"/>
              <w:left w:w="100.0" w:type="dxa"/>
              <w:bottom w:w="80.0" w:type="dxa"/>
              <w:right w:w="100.0" w:type="dxa"/>
            </w:tcMar>
          </w:tcPr>
          <w:p w:rsidR="00000000" w:rsidDel="00000000" w:rsidP="00000000" w:rsidRDefault="00000000" w:rsidRPr="00000000" w14:paraId="000000F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 de recuperación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disponibilidad del Control Plane</w:t>
            </w:r>
          </w:p>
        </w:tc>
        <w:tc>
          <w:tcPr>
            <w:tcMar>
              <w:top w:w="80.0" w:type="dxa"/>
              <w:left w:w="100.0" w:type="dxa"/>
              <w:bottom w:w="80.0" w:type="dxa"/>
              <w:right w:w="100.0" w:type="dxa"/>
            </w:tcMar>
          </w:tcPr>
          <w:p w:rsidR="00000000" w:rsidDel="00000000" w:rsidP="00000000" w:rsidRDefault="00000000" w:rsidRPr="00000000" w14:paraId="000000F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Mar>
              <w:top w:w="80.0" w:type="dxa"/>
              <w:left w:w="100.0" w:type="dxa"/>
              <w:bottom w:w="80.0" w:type="dxa"/>
              <w:right w:w="100.0" w:type="dxa"/>
            </w:tcMar>
          </w:tcPr>
          <w:p w:rsidR="00000000" w:rsidDel="00000000" w:rsidP="00000000" w:rsidRDefault="00000000" w:rsidRPr="00000000" w14:paraId="000000F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Mantener 1 Control Plane o evolucionar a HA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Integración K3s + Vault</w:t>
            </w:r>
          </w:p>
        </w:tc>
        <w:tc>
          <w:tcPr>
            <w:tcMar>
              <w:top w:w="80.0" w:type="dxa"/>
              <w:left w:w="100.0" w:type="dxa"/>
              <w:bottom w:w="80.0" w:type="dxa"/>
              <w:right w:w="100.0" w:type="dxa"/>
            </w:tcMar>
          </w:tcPr>
          <w:p w:rsidR="00000000" w:rsidDel="00000000" w:rsidP="00000000" w:rsidRDefault="00000000" w:rsidRPr="00000000" w14:paraId="0000010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Mar>
              <w:top w:w="80.0" w:type="dxa"/>
              <w:left w:w="100.0" w:type="dxa"/>
              <w:bottom w:w="80.0" w:type="dxa"/>
              <w:right w:w="100.0" w:type="dxa"/>
            </w:tcMar>
          </w:tcPr>
          <w:p w:rsidR="00000000" w:rsidDel="00000000" w:rsidP="00000000" w:rsidRDefault="00000000" w:rsidRPr="00000000" w14:paraId="0000010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Método de entrega de secretos a los pods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Política NetworkPolicy</w:t>
            </w:r>
          </w:p>
        </w:tc>
        <w:tc>
          <w:tcPr>
            <w:tcMar>
              <w:top w:w="80.0" w:type="dxa"/>
              <w:left w:w="100.0" w:type="dxa"/>
              <w:bottom w:w="80.0" w:type="dxa"/>
              <w:right w:w="100.0" w:type="dxa"/>
            </w:tcMar>
          </w:tcPr>
          <w:p w:rsidR="00000000" w:rsidDel="00000000" w:rsidP="00000000" w:rsidRDefault="00000000" w:rsidRPr="00000000" w14:paraId="0000010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Mar>
              <w:top w:w="80.0" w:type="dxa"/>
              <w:left w:w="100.0" w:type="dxa"/>
              <w:bottom w:w="80.0" w:type="dxa"/>
              <w:right w:w="100.0" w:type="dxa"/>
            </w:tcMar>
          </w:tcPr>
          <w:p w:rsidR="00000000" w:rsidDel="00000000" w:rsidP="00000000" w:rsidRDefault="00000000" w:rsidRPr="00000000" w14:paraId="00000104">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completa de flujos permitidos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Pod Security Standards</w:t>
            </w:r>
          </w:p>
        </w:tc>
        <w:tc>
          <w:tcPr>
            <w:tcMar>
              <w:top w:w="80.0" w:type="dxa"/>
              <w:left w:w="100.0" w:type="dxa"/>
              <w:bottom w:w="80.0" w:type="dxa"/>
              <w:right w:w="100.0" w:type="dxa"/>
            </w:tcMar>
          </w:tcPr>
          <w:p w:rsidR="00000000" w:rsidDel="00000000" w:rsidP="00000000" w:rsidRDefault="00000000" w:rsidRPr="00000000" w14:paraId="0000010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Mar>
              <w:top w:w="80.0" w:type="dxa"/>
              <w:left w:w="100.0" w:type="dxa"/>
              <w:bottom w:w="80.0" w:type="dxa"/>
              <w:right w:w="100.0" w:type="dxa"/>
            </w:tcMar>
          </w:tcPr>
          <w:p w:rsidR="00000000" w:rsidDel="00000000" w:rsidP="00000000" w:rsidRDefault="00000000" w:rsidRPr="00000000" w14:paraId="0000010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Nivel a aplicar y excepciones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Verificación operativa de Runners QA/Prod</w:t>
            </w:r>
          </w:p>
        </w:tc>
        <w:tc>
          <w:tcPr>
            <w:tcMar>
              <w:top w:w="80.0" w:type="dxa"/>
              <w:left w:w="100.0" w:type="dxa"/>
              <w:bottom w:w="80.0" w:type="dxa"/>
              <w:right w:w="100.0" w:type="dxa"/>
            </w:tcMar>
          </w:tcPr>
          <w:p w:rsidR="00000000" w:rsidDel="00000000" w:rsidP="00000000" w:rsidRDefault="00000000" w:rsidRPr="00000000" w14:paraId="0000010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propuesto (ADR-030)</w:t>
            </w:r>
          </w:p>
        </w:tc>
        <w:tc>
          <w:tcPr>
            <w:tcMar>
              <w:top w:w="80.0" w:type="dxa"/>
              <w:left w:w="100.0" w:type="dxa"/>
              <w:bottom w:w="80.0" w:type="dxa"/>
              <w:right w:w="100.0" w:type="dxa"/>
            </w:tcMar>
          </w:tcPr>
          <w:p w:rsidR="00000000" w:rsidDel="00000000" w:rsidP="00000000" w:rsidRDefault="00000000" w:rsidRPr="00000000" w14:paraId="0000010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Separación y permisos probados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Canal de alertas</w:t>
            </w:r>
          </w:p>
        </w:tc>
        <w:tc>
          <w:tcPr>
            <w:tcMar>
              <w:top w:w="80.0" w:type="dxa"/>
              <w:left w:w="100.0" w:type="dxa"/>
              <w:bottom w:w="80.0" w:type="dxa"/>
              <w:right w:w="100.0" w:type="dxa"/>
            </w:tcMar>
          </w:tcPr>
          <w:p w:rsidR="00000000" w:rsidDel="00000000" w:rsidP="00000000" w:rsidRDefault="00000000" w:rsidRPr="00000000" w14:paraId="000001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Mar>
              <w:top w:w="80.0" w:type="dxa"/>
              <w:left w:w="100.0" w:type="dxa"/>
              <w:bottom w:w="80.0" w:type="dxa"/>
              <w:right w:w="100.0" w:type="dxa"/>
            </w:tcMar>
          </w:tcPr>
          <w:p w:rsidR="00000000" w:rsidDel="00000000" w:rsidP="00000000" w:rsidRDefault="00000000" w:rsidRPr="00000000" w14:paraId="000001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Telegram u otro canal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1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Classes y discos</w:t>
            </w:r>
          </w:p>
        </w:tc>
        <w:tc>
          <w:tcPr>
            <w:tcMar>
              <w:top w:w="80.0" w:type="dxa"/>
              <w:left w:w="100.0" w:type="dxa"/>
              <w:bottom w:w="80.0" w:type="dxa"/>
              <w:right w:w="100.0" w:type="dxa"/>
            </w:tcMar>
          </w:tcPr>
          <w:p w:rsidR="00000000" w:rsidDel="00000000" w:rsidP="00000000" w:rsidRDefault="00000000" w:rsidRPr="00000000" w14:paraId="0000010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Pendiente</w:t>
            </w:r>
          </w:p>
        </w:tc>
        <w:tc>
          <w:tcPr>
            <w:tcMar>
              <w:top w:w="80.0" w:type="dxa"/>
              <w:left w:w="100.0" w:type="dxa"/>
              <w:bottom w:w="80.0" w:type="dxa"/>
              <w:right w:w="100.0" w:type="dxa"/>
            </w:tcMar>
          </w:tcPr>
          <w:p w:rsidR="00000000" w:rsidDel="00000000" w:rsidP="00000000" w:rsidRDefault="00000000" w:rsidRPr="00000000" w14:paraId="0000011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Política de persistencia</w:t>
            </w:r>
          </w:p>
        </w:tc>
      </w:tr>
    </w:tbl>
    <w:p w:rsidR="00000000" w:rsidDel="00000000" w:rsidP="00000000" w:rsidRDefault="00000000" w:rsidRPr="00000000" w14:paraId="00000111">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Acciones de seguimiento recomendadas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Unificar la nomenclatura de microservicios entre el SAD V2 y el Documento de Infraestructura antes de crear los repositorios definitivos (ver Contradicción #2).</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Precisar en el DD V2 o el SAD V2 si el núcleo relacional de identidad/transaccional vive en una única base de datos por custodio técnico o en bases separadas por microservicio (cierre de la Contradicción #1).</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Actualizar la wiki técnica (lenguajes-frameworks/nodejs-typescript.md, java.md) para reflejar ADR-021 y evitar que el Tech Radar quede contradicho por el propio SAD V2.</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Formalizar como ADR propios los nueve puntos listados en el Documento de Infraestructura §14 (backup/DR, RPO/RTO, HA del Control Plane, integración Vault, NetworkPolicy, Pod Security Standards, canal de alertas, Storage Classes) antes de considerar la plataforma lista para Producción.</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Aclarar el rol del microservicio Orquestador del mapa de dominios de la wiki frente a la Saga coreografiada descrita en ADR-025, que no menciona un orquestador central para ese flujo.</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