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Design Description (SDD) Fixia</w:t>
      </w:r>
      <w:r w:rsidDel="00000000" w:rsidR="00000000" w:rsidRPr="00000000">
        <w:rPr>
          <w:rtl w:val="0"/>
        </w:rPr>
      </w:r>
    </w:p>
    <w:p w:rsidR="00000000" w:rsidDel="00000000" w:rsidP="00000000" w:rsidRDefault="00000000" w:rsidRPr="00000000" w14:paraId="00000002">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Introducción</w:t>
      </w:r>
    </w:p>
    <w:p w:rsidR="00000000" w:rsidDel="00000000" w:rsidP="00000000" w:rsidRDefault="00000000" w:rsidRPr="00000000" w14:paraId="00000003">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Propósito</w:t>
      </w:r>
    </w:p>
    <w:p w:rsidR="00000000" w:rsidDel="00000000" w:rsidP="00000000" w:rsidRDefault="00000000" w:rsidRPr="00000000" w14:paraId="00000004">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SDD (Software Design Description) documenta el modelado y diseño de software de Fixia correspondiente al Sprint 2: cómo se traducen los requisitos (SRS V3), la arquitectura de negocio y de calidad (SAD V2), las decisiones estructurales (Registro de ADR Sprint 1 y Sprint 2) y el diseño de datos (DD V2, Arquitectura de Datos V2) en un diseño concreto — componentes, responsabilidades, relaciones, contratos de datos e interfaces — que el equipo de desarrollo pueda implementar de forma consistente.</w:t>
      </w:r>
    </w:p>
    <w:p w:rsidR="00000000" w:rsidDel="00000000" w:rsidP="00000000" w:rsidRDefault="00000000" w:rsidRPr="00000000" w14:paraId="00000005">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diferencia del borrador inicial de esta V1 (21 de septiembre de 2026), que se elaboró únicamente con la wiki técnica y Jira, esta versión incorpora los documentos fuente completos del Sprint 2: SAD V2, SRS V3.1, el Documento de Arquitectura de Infraestructura K3s, el Diccionario de Datos V2, la Arquitectura de Datos V2, el Registro de ADR — Sprint 2 (ADR-021 a ADR-031) y el diagrama ejecutivo HLD v5. Esto permite que la mayoría de los puntos que la primera versión dejaba abiertos (catálogo de microservicios, estructura del Orquestador, estrategia Saga, topología de infraestructura) ya tengan una decisión documentada. Los puntos que </w:t>
      </w:r>
      <w:r w:rsidDel="00000000" w:rsidR="00000000" w:rsidRPr="00000000">
        <w:rPr>
          <w:rFonts w:ascii="Times New Roman" w:cs="Times New Roman" w:eastAsia="Times New Roman" w:hAnsi="Times New Roman"/>
          <w:b w:val="1"/>
          <w:bCs w:val="1"/>
          <w:rtl w:val="0"/>
        </w:rPr>
        <w:t xml:space="preserve">siguen</w:t>
      </w:r>
      <w:r w:rsidDel="00000000" w:rsidR="00000000" w:rsidRPr="00000000">
        <w:rPr>
          <w:rFonts w:ascii="Times New Roman" w:cs="Times New Roman" w:eastAsia="Times New Roman" w:hAnsi="Times New Roman"/>
          <w:rtl w:val="0"/>
        </w:rPr>
        <w:t xml:space="preserve"> sin cerrarse —incluida una contradicción de fondo sobre el modelo de custodia de pagos que ninguna de las fuentes resuelve todavía— se documentan explícitamente en la </w:t>
      </w:r>
      <w:hyperlink w:anchor="1wq9tq42alww">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 xml:space="preserve"> en lugar de asumirse por inferencia.</w:t>
      </w:r>
    </w:p>
    <w:p w:rsidR="00000000" w:rsidDel="00000000" w:rsidP="00000000" w:rsidRDefault="00000000" w:rsidRPr="00000000" w14:paraId="00000006">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Alcance</w:t>
      </w:r>
    </w:p>
    <w:p w:rsidR="00000000" w:rsidDel="00000000" w:rsidP="00000000" w:rsidRDefault="00000000" w:rsidRPr="00000000" w14:paraId="00000007">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a los siete microservicios de backend del catálogo confirmado por el diagrama ejecutivo HLD v5 (ver </w:t>
      </w:r>
      <w:hyperlink w:anchor="du7woeauty58">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 xml:space="preserve">) y a la estructura interna estándar (Clean Architecture) que todos ellos deben seguir, así como a la arquitectura de datos, la infraestructura de despliegue y las decisiones de arquitectura formalizadas para el Sprint 2. No cubre diseño visual/UX de los frontends (app móvil, panel administrativo), que se gestiona por separado en Figma, ni las reglas de negocio en sí mismas más allá de sus implicaciones de diseño (el detalle funcional completo vive en el SRS V3).</w:t>
      </w:r>
    </w:p>
    <w:p w:rsidR="00000000" w:rsidDel="00000000" w:rsidP="00000000" w:rsidRDefault="00000000" w:rsidRPr="00000000" w14:paraId="00000008">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Definiciones y acrónimos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Término</w:t>
            </w:r>
          </w:p>
        </w:tc>
        <w:tc>
          <w:tcPr>
            <w:shd w:fill="dce6f1" w:val="clear"/>
            <w:tcMar>
              <w:top w:w="60.0" w:type="dxa"/>
              <w:left w:w="100.0" w:type="dxa"/>
              <w:bottom w:w="60.0" w:type="dxa"/>
              <w:right w:w="100.0" w:type="dxa"/>
            </w:tcMar>
          </w:tcPr>
          <w:p w:rsidR="00000000" w:rsidDel="00000000" w:rsidP="00000000" w:rsidRDefault="00000000" w:rsidRPr="00000000" w14:paraId="000000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SDD</w:t>
            </w:r>
          </w:p>
        </w:tc>
        <w:tc>
          <w:tcPr>
            <w:tcMar>
              <w:top w:w="60.0" w:type="dxa"/>
              <w:left w:w="100.0" w:type="dxa"/>
              <w:bottom w:w="60.0" w:type="dxa"/>
              <w:right w:w="100.0" w:type="dxa"/>
            </w:tcMar>
          </w:tcPr>
          <w:p w:rsidR="00000000" w:rsidDel="00000000" w:rsidP="00000000" w:rsidRDefault="00000000" w:rsidRPr="00000000" w14:paraId="000000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Design Description — este documento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w:t>
            </w:r>
          </w:p>
        </w:tc>
        <w:tc>
          <w:tcPr>
            <w:tcMar>
              <w:top w:w="60.0" w:type="dxa"/>
              <w:left w:w="100.0" w:type="dxa"/>
              <w:bottom w:w="60.0" w:type="dxa"/>
              <w:right w:w="100.0" w:type="dxa"/>
            </w:tcMar>
          </w:tcPr>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Architecture Description (V2, vigente para el Sprint 2)</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w:t>
            </w:r>
          </w:p>
        </w:tc>
        <w:tc>
          <w:tcPr>
            <w:tcMar>
              <w:top w:w="60.0" w:type="dxa"/>
              <w:left w:w="100.0" w:type="dxa"/>
              <w:bottom w:w="60.0" w:type="dxa"/>
              <w:right w:w="100.0" w:type="dxa"/>
            </w:tcMar>
          </w:tcPr>
          <w:p w:rsidR="00000000" w:rsidDel="00000000" w:rsidP="00000000" w:rsidRDefault="00000000" w:rsidRPr="00000000" w14:paraId="000000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Requirements Specification (V3.1, vigente)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w:t>
            </w:r>
          </w:p>
        </w:tc>
        <w:tc>
          <w:tcPr>
            <w:tcMar>
              <w:top w:w="60.0" w:type="dxa"/>
              <w:left w:w="100.0" w:type="dxa"/>
              <w:bottom w:w="60.0" w:type="dxa"/>
              <w:right w:w="100.0" w:type="dxa"/>
            </w:tcMar>
          </w:tcPr>
          <w:p w:rsidR="00000000" w:rsidDel="00000000" w:rsidP="00000000" w:rsidRDefault="00000000" w:rsidRPr="00000000" w14:paraId="000000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Diccionario de Datos (V2)</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w:t>
            </w:r>
          </w:p>
        </w:tc>
        <w:tc>
          <w:tcPr>
            <w:tcMar>
              <w:top w:w="60.0" w:type="dxa"/>
              <w:left w:w="100.0" w:type="dxa"/>
              <w:bottom w:w="60.0" w:type="dxa"/>
              <w:right w:w="100.0" w:type="dxa"/>
            </w:tcMar>
          </w:tcPr>
          <w:p w:rsidR="00000000" w:rsidDel="00000000" w:rsidP="00000000" w:rsidRDefault="00000000" w:rsidRPr="00000000" w14:paraId="000000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Decision Record</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w:t>
            </w:r>
          </w:p>
        </w:tc>
        <w:tc>
          <w:tcPr>
            <w:tcMar>
              <w:top w:w="60.0" w:type="dxa"/>
              <w:left w:w="100.0" w:type="dxa"/>
              <w:bottom w:w="60.0" w:type="dxa"/>
              <w:right w:w="100.0" w:type="dxa"/>
            </w:tcMar>
          </w:tcPr>
          <w:p w:rsidR="00000000" w:rsidDel="00000000" w:rsidP="00000000" w:rsidRDefault="00000000" w:rsidRPr="00000000" w14:paraId="000000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Design — diagrama ejecutivo de arquitectura (v5)</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Bounded Context</w:t>
            </w:r>
          </w:p>
        </w:tc>
        <w:tc>
          <w:tcPr>
            <w:tcMar>
              <w:top w:w="60.0" w:type="dxa"/>
              <w:left w:w="100.0" w:type="dxa"/>
              <w:bottom w:w="60.0" w:type="dxa"/>
              <w:right w:w="100.0" w:type="dxa"/>
            </w:tcMar>
          </w:tcPr>
          <w:p w:rsidR="00000000" w:rsidDel="00000000" w:rsidP="00000000" w:rsidRDefault="00000000" w:rsidRPr="00000000" w14:paraId="000000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Límite de un dominio de negocio (DDD)</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CDC</w:t>
            </w:r>
          </w:p>
        </w:tc>
        <w:tc>
          <w:tcPr>
            <w:tcMar>
              <w:top w:w="60.0" w:type="dxa"/>
              <w:left w:w="100.0" w:type="dxa"/>
              <w:bottom w:w="60.0" w:type="dxa"/>
              <w:right w:w="100.0" w:type="dxa"/>
            </w:tcMar>
          </w:tcPr>
          <w:p w:rsidR="00000000" w:rsidDel="00000000" w:rsidP="00000000" w:rsidRDefault="00000000" w:rsidRPr="00000000" w14:paraId="000000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Data Capture (Debezium)</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WORM</w:t>
            </w:r>
          </w:p>
        </w:tc>
        <w:tc>
          <w:tcPr>
            <w:tcMar>
              <w:top w:w="60.0" w:type="dxa"/>
              <w:left w:w="100.0" w:type="dxa"/>
              <w:bottom w:w="60.0" w:type="dxa"/>
              <w:right w:w="100.0" w:type="dxa"/>
            </w:tcMar>
          </w:tcPr>
          <w:p w:rsidR="00000000" w:rsidDel="00000000" w:rsidP="00000000" w:rsidRDefault="00000000" w:rsidRPr="00000000" w14:paraId="000000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Once, Read Many — bloqueo de objetos inmutables (MinIO)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 Event</w:t>
            </w:r>
          </w:p>
        </w:tc>
        <w:tc>
          <w:tcPr>
            <w:tcMar>
              <w:top w:w="60.0" w:type="dxa"/>
              <w:left w:w="100.0" w:type="dxa"/>
              <w:bottom w:w="60.0" w:type="dxa"/>
              <w:right w:w="100.0" w:type="dxa"/>
            </w:tcMar>
          </w:tcPr>
          <w:p w:rsidR="00000000" w:rsidDel="00000000" w:rsidP="00000000" w:rsidRDefault="00000000" w:rsidRPr="00000000" w14:paraId="000000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bus que solo contiene </w:t>
            </w:r>
            <w:r w:rsidDel="00000000" w:rsidR="00000000" w:rsidRPr="00000000">
              <w:rPr>
                <w:rFonts w:ascii="Times New Roman" w:cs="Times New Roman" w:eastAsia="Times New Roman" w:hAnsi="Times New Roman"/>
                <w:sz w:val="20"/>
                <w:szCs w:val="20"/>
                <w:shd w:fill="efefef" w:val="clear"/>
                <w:rtl w:val="0"/>
              </w:rPr>
              <w:t xml:space="preserve">{colección, id}</w:t>
            </w:r>
            <w:r w:rsidDel="00000000" w:rsidR="00000000" w:rsidRPr="00000000">
              <w:rPr>
                <w:rFonts w:ascii="Times New Roman" w:cs="Times New Roman" w:eastAsia="Times New Roman" w:hAnsi="Times New Roman"/>
                <w:rtl w:val="0"/>
              </w:rPr>
              <w:t xml:space="preserve">, nunca el objeto completo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Saga coreografiada</w:t>
            </w:r>
          </w:p>
        </w:tc>
        <w:tc>
          <w:tcPr>
            <w:tcMar>
              <w:top w:w="60.0" w:type="dxa"/>
              <w:left w:w="100.0" w:type="dxa"/>
              <w:bottom w:w="60.0" w:type="dxa"/>
              <w:right w:w="100.0" w:type="dxa"/>
            </w:tcMar>
          </w:tcPr>
          <w:p w:rsidR="00000000" w:rsidDel="00000000" w:rsidP="00000000" w:rsidRDefault="00000000" w:rsidRPr="00000000" w14:paraId="0000002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Coordinación de una transacción distribuida por reacción a eventos, sin coordinador central de estado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w:t>
            </w:r>
          </w:p>
        </w:tc>
        <w:tc>
          <w:tcPr>
            <w:tcMar>
              <w:top w:w="60.0" w:type="dxa"/>
              <w:left w:w="100.0" w:type="dxa"/>
              <w:bottom w:w="60.0" w:type="dxa"/>
              <w:right w:w="100.0" w:type="dxa"/>
            </w:tcMar>
          </w:tcPr>
          <w:p w:rsidR="00000000" w:rsidDel="00000000" w:rsidP="00000000" w:rsidRDefault="00000000" w:rsidRPr="00000000" w14:paraId="0000002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de concepto</w:t>
            </w:r>
          </w:p>
        </w:tc>
      </w:tr>
    </w:tbl>
    <w:p w:rsidR="00000000" w:rsidDel="00000000" w:rsidP="00000000" w:rsidRDefault="00000000" w:rsidRPr="00000000" w14:paraId="0000002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Referencias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02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shd w:fill="dce6f1" w:val="clear"/>
            <w:tcMar>
              <w:top w:w="60.0" w:type="dxa"/>
              <w:left w:w="100.0" w:type="dxa"/>
              <w:bottom w:w="60.0" w:type="dxa"/>
              <w:right w:w="100.0" w:type="dxa"/>
            </w:tcMar>
          </w:tcPr>
          <w:p w:rsidR="00000000" w:rsidDel="00000000" w:rsidP="00000000" w:rsidRDefault="00000000" w:rsidRPr="00000000" w14:paraId="0000002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Ubicación</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 V3.1</w:t>
            </w:r>
          </w:p>
        </w:tc>
        <w:tc>
          <w:tcPr>
            <w:tcMar>
              <w:top w:w="60.0" w:type="dxa"/>
              <w:left w:w="100.0" w:type="dxa"/>
              <w:bottom w:w="60.0" w:type="dxa"/>
              <w:right w:w="100.0" w:type="dxa"/>
            </w:tcMar>
          </w:tcPr>
          <w:p w:rsidR="00000000" w:rsidDel="00000000" w:rsidP="00000000" w:rsidRDefault="00000000" w:rsidRPr="00000000" w14:paraId="000000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Sprint 2/Fixia_SRS_V3.docx</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 V2</w:t>
            </w:r>
          </w:p>
        </w:tc>
        <w:tc>
          <w:tcPr>
            <w:tcMar>
              <w:top w:w="60.0" w:type="dxa"/>
              <w:left w:w="100.0" w:type="dxa"/>
              <w:bottom w:w="60.0" w:type="dxa"/>
              <w:right w:w="100.0" w:type="dxa"/>
            </w:tcMar>
          </w:tcPr>
          <w:p w:rsidR="00000000" w:rsidDel="00000000" w:rsidP="00000000" w:rsidRDefault="00000000" w:rsidRPr="00000000" w14:paraId="000000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Sprint 2/SAD V2/Fixia_SAD_V2.docx</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Diccionario de Datos V2</w:t>
            </w:r>
          </w:p>
        </w:tc>
        <w:tc>
          <w:tcPr>
            <w:tcMar>
              <w:top w:w="60.0" w:type="dxa"/>
              <w:left w:w="100.0" w:type="dxa"/>
              <w:bottom w:w="60.0" w:type="dxa"/>
              <w:right w:w="100.0" w:type="dxa"/>
            </w:tcMar>
          </w:tcPr>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Sprint 2/DD V2/DD V2.docx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shd w:fill="efefef" w:val="clear"/>
                <w:rtl w:val="0"/>
              </w:rPr>
              <w:t xml:space="preserve">Diagrama de Modelado de Datos.png</w:t>
            </w:r>
            <w:r w:rsidDel="00000000" w:rsidR="00000000" w:rsidRPr="00000000">
              <w:rPr>
                <w:rFonts w:ascii="Times New Roman" w:cs="Times New Roman" w:eastAsia="Times New Roman" w:hAnsi="Times New Roman"/>
                <w:rtl w:val="0"/>
              </w:rPr>
              <w:t xml:space="preserv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de Datos V2</w:t>
            </w:r>
          </w:p>
        </w:tc>
        <w:tc>
          <w:tcPr>
            <w:tcMar>
              <w:top w:w="60.0" w:type="dxa"/>
              <w:left w:w="100.0" w:type="dxa"/>
              <w:bottom w:w="60.0" w:type="dxa"/>
              <w:right w:w="100.0" w:type="dxa"/>
            </w:tcMar>
          </w:tcPr>
          <w:p w:rsidR="00000000" w:rsidDel="00000000" w:rsidP="00000000" w:rsidRDefault="00000000" w:rsidRPr="00000000" w14:paraId="000000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Sprint 2/SDD V2/Arquitectura de Datos V2.docx</w:t>
            </w:r>
            <w:r w:rsidDel="00000000" w:rsidR="00000000" w:rsidRPr="00000000">
              <w:rPr>
                <w:rFonts w:ascii="Times New Roman" w:cs="Times New Roman" w:eastAsia="Times New Roman" w:hAnsi="Times New Roman"/>
                <w:rtl w:val="0"/>
              </w:rPr>
              <w:t xml:space="preserve"> (+ diagrama)</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Arquitectura de Infraestructura (K3s)</w:t>
            </w:r>
          </w:p>
        </w:tc>
        <w:tc>
          <w:tcPr>
            <w:tcMar>
              <w:top w:w="60.0" w:type="dxa"/>
              <w:left w:w="100.0" w:type="dxa"/>
              <w:bottom w:w="60.0" w:type="dxa"/>
              <w:right w:w="100.0" w:type="dxa"/>
            </w:tcMar>
          </w:tcPr>
          <w:p w:rsidR="00000000" w:rsidDel="00000000" w:rsidP="00000000" w:rsidRDefault="00000000" w:rsidRPr="00000000" w14:paraId="000000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Sprint 2/Documento de Infraestructura V1/Documento_Arquitectura_Seguridad_Ambientes_K3s.docx</w:t>
            </w:r>
            <w:r w:rsidDel="00000000" w:rsidR="00000000" w:rsidRPr="00000000">
              <w:rPr>
                <w:rFonts w:ascii="Times New Roman" w:cs="Times New Roman" w:eastAsia="Times New Roman" w:hAnsi="Times New Roman"/>
                <w:rtl w:val="0"/>
              </w:rPr>
              <w:t xml:space="preserve"> (+ diagrama)</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ADR — Sprint 2 (ADR-021 a ADR-031)</w:t>
            </w:r>
          </w:p>
        </w:tc>
        <w:tc>
          <w:tcPr>
            <w:tcMar>
              <w:top w:w="60.0" w:type="dxa"/>
              <w:left w:w="100.0" w:type="dxa"/>
              <w:bottom w:w="60.0" w:type="dxa"/>
              <w:right w:w="100.0" w:type="dxa"/>
            </w:tcMar>
          </w:tcPr>
          <w:p w:rsidR="00000000" w:rsidDel="00000000" w:rsidP="00000000" w:rsidRDefault="00000000" w:rsidRPr="00000000" w14:paraId="000000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Sprint 2/ADR-Sprint2-Fixia.docx</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v5 (diagrama ejecutivo)</w:t>
            </w:r>
          </w:p>
        </w:tc>
        <w:tc>
          <w:tcPr>
            <w:tcMar>
              <w:top w:w="60.0" w:type="dxa"/>
              <w:left w:w="100.0" w:type="dxa"/>
              <w:bottom w:w="60.0" w:type="dxa"/>
              <w:right w:w="100.0" w:type="dxa"/>
            </w:tcMar>
          </w:tcPr>
          <w:p w:rsidR="00000000" w:rsidDel="00000000" w:rsidP="00000000" w:rsidRDefault="00000000" w:rsidRPr="00000000" w14:paraId="0000003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Sprint 2/Fixia_HLD_v5_ejecutivo (1).jpg</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 de dominios de negocio (wiki)</w:t>
            </w:r>
          </w:p>
        </w:tc>
        <w:tc>
          <w:tcPr>
            <w:tcMar>
              <w:top w:w="60.0" w:type="dxa"/>
              <w:left w:w="100.0" w:type="dxa"/>
              <w:bottom w:w="60.0" w:type="dxa"/>
              <w:right w:w="100.0" w:type="dxa"/>
            </w:tcMar>
          </w:tcPr>
          <w:p w:rsidR="00000000" w:rsidDel="00000000" w:rsidP="00000000" w:rsidRDefault="00000000" w:rsidRPr="00000000" w14:paraId="000000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01-contexto-proyecto/mapa-dominios-negocio.md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Catálogo de microservicios (wiki)</w:t>
            </w:r>
          </w:p>
        </w:tc>
        <w:tc>
          <w:tcPr>
            <w:tcMar>
              <w:top w:w="60.0" w:type="dxa"/>
              <w:left w:w="100.0" w:type="dxa"/>
              <w:bottom w:w="60.0" w:type="dxa"/>
              <w:right w:w="100.0" w:type="dxa"/>
            </w:tcMar>
          </w:tcPr>
          <w:p w:rsidR="00000000" w:rsidDel="00000000" w:rsidP="00000000" w:rsidRDefault="00000000" w:rsidRPr="00000000" w14:paraId="000000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08-estructura-microservicios/catalogo-microservicios-fixia.md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Architecture (wiki)</w:t>
            </w:r>
          </w:p>
        </w:tc>
        <w:tc>
          <w:tcPr>
            <w:tcMar>
              <w:top w:w="60.0" w:type="dxa"/>
              <w:left w:w="100.0" w:type="dxa"/>
              <w:bottom w:w="60.0" w:type="dxa"/>
              <w:right w:w="100.0" w:type="dxa"/>
            </w:tcMar>
          </w:tcPr>
          <w:p w:rsidR="00000000" w:rsidDel="00000000" w:rsidP="00000000" w:rsidRDefault="00000000" w:rsidRPr="00000000" w14:paraId="0000003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03-decisiones-arquitectura/tecnicas-metodos/clean-architecture.md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Patrones de diseño (wiki)</w:t>
            </w:r>
          </w:p>
        </w:tc>
        <w:tc>
          <w:tcPr>
            <w:tcMar>
              <w:top w:w="60.0" w:type="dxa"/>
              <w:left w:w="100.0" w:type="dxa"/>
              <w:bottom w:w="60.0" w:type="dxa"/>
              <w:right w:w="100.0" w:type="dxa"/>
            </w:tcMar>
          </w:tcPr>
          <w:p w:rsidR="00000000" w:rsidDel="00000000" w:rsidP="00000000" w:rsidRDefault="00000000" w:rsidRPr="00000000" w14:paraId="000000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07-calidad-arquitectura/patrones-diseno.md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Protección de datos y privacidad (wiki)</w:t>
            </w:r>
          </w:p>
        </w:tc>
        <w:tc>
          <w:tcPr>
            <w:tcMar>
              <w:top w:w="60.0" w:type="dxa"/>
              <w:left w:w="100.0" w:type="dxa"/>
              <w:bottom w:w="60.0" w:type="dxa"/>
              <w:right w:w="100.0" w:type="dxa"/>
            </w:tcMar>
          </w:tcPr>
          <w:p w:rsidR="00000000" w:rsidDel="00000000" w:rsidP="00000000" w:rsidRDefault="00000000" w:rsidRPr="00000000" w14:paraId="000000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10-seguridad-datos/proteccion-datos-privacidad.md</w:t>
            </w:r>
            <w:r w:rsidDel="00000000" w:rsidR="00000000" w:rsidRPr="00000000">
              <w:rPr>
                <w:rtl w:val="0"/>
              </w:rPr>
            </w:r>
          </w:p>
        </w:tc>
      </w:tr>
    </w:tbl>
    <w:p w:rsidR="00000000" w:rsidDel="00000000" w:rsidP="00000000" w:rsidRDefault="00000000" w:rsidRPr="00000000" w14:paraId="0000003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Vista de Arquitectura General</w:t>
      </w:r>
    </w:p>
    <w:p w:rsidR="00000000" w:rsidDel="00000000" w:rsidP="00000000" w:rsidRDefault="00000000" w:rsidRPr="00000000" w14:paraId="00000042">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Estilo arquitectónico</w:t>
      </w:r>
    </w:p>
    <w:p w:rsidR="00000000" w:rsidDel="00000000" w:rsidP="00000000" w:rsidRDefault="00000000" w:rsidRPr="00000000" w14:paraId="00000043">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Fixia se diseña como una </w:t>
      </w:r>
      <w:r w:rsidDel="00000000" w:rsidR="00000000" w:rsidRPr="00000000">
        <w:rPr>
          <w:rFonts w:ascii="Times New Roman" w:cs="Times New Roman" w:eastAsia="Times New Roman" w:hAnsi="Times New Roman"/>
          <w:b w:val="1"/>
          <w:bCs w:val="1"/>
          <w:rtl w:val="0"/>
        </w:rPr>
        <w:t xml:space="preserve">arquitectura de microservicios organizados por bounded context</w:t>
      </w:r>
      <w:r w:rsidDel="00000000" w:rsidR="00000000" w:rsidRPr="00000000">
        <w:rPr>
          <w:rFonts w:ascii="Times New Roman" w:cs="Times New Roman" w:eastAsia="Times New Roman" w:hAnsi="Times New Roman"/>
          <w:rtl w:val="0"/>
        </w:rPr>
        <w:t xml:space="preserve"> (ADR-011, ADR-013), comunicados a través de un API Gateway único (Traefik, ADR-027) con llamadas síncronas REST/gRPC para operaciones puntuales y un bus de eventos (Apache Kafka vía Strimzi Operator) para el flujo de negocio principal, coordinado mediante el patrón </w:t>
      </w:r>
      <w:r w:rsidDel="00000000" w:rsidR="00000000" w:rsidRPr="00000000">
        <w:rPr>
          <w:rFonts w:ascii="Times New Roman" w:cs="Times New Roman" w:eastAsia="Times New Roman" w:hAnsi="Times New Roman"/>
          <w:b w:val="1"/>
          <w:bCs w:val="1"/>
          <w:rtl w:val="0"/>
        </w:rPr>
        <w:t xml:space="preserve">Saga coreografiada</w:t>
      </w:r>
      <w:r w:rsidDel="00000000" w:rsidR="00000000" w:rsidRPr="00000000">
        <w:rPr>
          <w:rFonts w:ascii="Times New Roman" w:cs="Times New Roman" w:eastAsia="Times New Roman" w:hAnsi="Times New Roman"/>
          <w:rtl w:val="0"/>
        </w:rPr>
        <w:t xml:space="preserve"> (ADR-025) sobre </w:t>
      </w:r>
      <w:r w:rsidDel="00000000" w:rsidR="00000000" w:rsidRPr="00000000">
        <w:rPr>
          <w:rFonts w:ascii="Times New Roman" w:cs="Times New Roman" w:eastAsia="Times New Roman" w:hAnsi="Times New Roman"/>
          <w:b w:val="1"/>
          <w:bCs w:val="1"/>
          <w:rtl w:val="0"/>
        </w:rPr>
        <w:t xml:space="preserve">Transactional Outbox</w:t>
      </w:r>
      <w:r w:rsidDel="00000000" w:rsidR="00000000" w:rsidRPr="00000000">
        <w:rPr>
          <w:rFonts w:ascii="Times New Roman" w:cs="Times New Roman" w:eastAsia="Times New Roman" w:hAnsi="Times New Roman"/>
          <w:rtl w:val="0"/>
        </w:rPr>
        <w:t xml:space="preserve"> con </w:t>
      </w:r>
      <w:r w:rsidDel="00000000" w:rsidR="00000000" w:rsidRPr="00000000">
        <w:rPr>
          <w:rFonts w:ascii="Times New Roman" w:cs="Times New Roman" w:eastAsia="Times New Roman" w:hAnsi="Times New Roman"/>
          <w:b w:val="1"/>
          <w:bCs w:val="1"/>
          <w:rtl w:val="0"/>
        </w:rPr>
        <w:t xml:space="preserve">eventos mínimos</w:t>
      </w:r>
      <w:r w:rsidDel="00000000" w:rsidR="00000000" w:rsidRPr="00000000">
        <w:rPr>
          <w:rFonts w:ascii="Times New Roman" w:cs="Times New Roman" w:eastAsia="Times New Roman" w:hAnsi="Times New Roman"/>
          <w:rtl w:val="0"/>
        </w:rPr>
        <w:t xml:space="preserve"> (Thin Events, ADR-024). Esta decisión de fondo responde a los mismos tres objetivos de negocio identificados desde el Sprint 1:</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Tiempo de respuesta bajo en búsqueda por proximidad geográfica.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Aislamiento de fallos entre dominios de sensibilidad distinta (pagos, verificación de identidad, ubicación en tiempo real).</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Escalado independiente por dominio ante picos de demanda no uniformes.</w:t>
      </w:r>
    </w:p>
    <w:p w:rsidR="00000000" w:rsidDel="00000000" w:rsidP="00000000" w:rsidRDefault="00000000" w:rsidRPr="00000000" w14:paraId="00000047">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Sprint 2 cierra una decisión de fondo que la V1 inicial dejaba abierta: el stack por defecto de los microservicios de negocio deja de ser Node.js/TypeScript (ADR-012, Sprint 1) y pasa a ser </w:t>
      </w:r>
      <w:r w:rsidDel="00000000" w:rsidR="00000000" w:rsidRPr="00000000">
        <w:rPr>
          <w:rFonts w:ascii="Times New Roman" w:cs="Times New Roman" w:eastAsia="Times New Roman" w:hAnsi="Times New Roman"/>
          <w:b w:val="1"/>
          <w:bCs w:val="1"/>
          <w:rtl w:val="0"/>
        </w:rPr>
        <w:t xml:space="preserve">Java 21 + Spring Boot</w:t>
      </w:r>
      <w:r w:rsidDel="00000000" w:rsidR="00000000" w:rsidRPr="00000000">
        <w:rPr>
          <w:rFonts w:ascii="Times New Roman" w:cs="Times New Roman" w:eastAsia="Times New Roman" w:hAnsi="Times New Roman"/>
          <w:rtl w:val="0"/>
        </w:rPr>
        <w:t xml:space="preserve"> (ADR-021, Sprint 2), con </w:t>
      </w:r>
      <w:r w:rsidDel="00000000" w:rsidR="00000000" w:rsidRPr="00000000">
        <w:rPr>
          <w:rFonts w:ascii="Times New Roman" w:cs="Times New Roman" w:eastAsia="Times New Roman" w:hAnsi="Times New Roman"/>
          <w:b w:val="1"/>
          <w:bCs w:val="1"/>
          <w:rtl w:val="0"/>
        </w:rPr>
        <w:t xml:space="preserve">Python + FastAPI + PostGIS</w:t>
      </w:r>
      <w:r w:rsidDel="00000000" w:rsidR="00000000" w:rsidRPr="00000000">
        <w:rPr>
          <w:rFonts w:ascii="Times New Roman" w:cs="Times New Roman" w:eastAsia="Times New Roman" w:hAnsi="Times New Roman"/>
          <w:rtl w:val="0"/>
        </w:rPr>
        <w:t xml:space="preserve"> reservado exclusivamente para el microservicio de matching geoespacial y </w:t>
      </w:r>
      <w:r w:rsidDel="00000000" w:rsidR="00000000" w:rsidRPr="00000000">
        <w:rPr>
          <w:rFonts w:ascii="Times New Roman" w:cs="Times New Roman" w:eastAsia="Times New Roman" w:hAnsi="Times New Roman"/>
          <w:b w:val="1"/>
          <w:bCs w:val="1"/>
          <w:rtl w:val="0"/>
        </w:rPr>
        <w:t xml:space="preserve">Go</w:t>
      </w:r>
      <w:r w:rsidDel="00000000" w:rsidR="00000000" w:rsidRPr="00000000">
        <w:rPr>
          <w:rFonts w:ascii="Times New Roman" w:cs="Times New Roman" w:eastAsia="Times New Roman" w:hAnsi="Times New Roman"/>
          <w:rtl w:val="0"/>
        </w:rPr>
        <w:t xml:space="preserve"> para el microservicio de ingesta analítica. La wiki técnica (</w:t>
      </w:r>
      <w:r w:rsidDel="00000000" w:rsidR="00000000" w:rsidRPr="00000000">
        <w:rPr>
          <w:rFonts w:ascii="Times New Roman" w:cs="Times New Roman" w:eastAsia="Times New Roman" w:hAnsi="Times New Roman"/>
          <w:sz w:val="20"/>
          <w:szCs w:val="20"/>
          <w:shd w:fill="efefef" w:val="clear"/>
          <w:rtl w:val="0"/>
        </w:rPr>
        <w:t xml:space="preserve">lenguajes-frameworks/nodejs-typescript.md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java.md</w:t>
      </w:r>
      <w:r w:rsidDel="00000000" w:rsidR="00000000" w:rsidRPr="00000000">
        <w:rPr>
          <w:rFonts w:ascii="Times New Roman" w:cs="Times New Roman" w:eastAsia="Times New Roman" w:hAnsi="Times New Roman"/>
          <w:rtl w:val="0"/>
        </w:rPr>
        <w:t xml:space="preserve">) todavía no refleja este cambio — ver acción de seguimiento en </w:t>
      </w:r>
      <w:hyperlink w:anchor="1wq9tq42alww">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Diagrama de arquitectura de alto nivel</w:t>
      </w:r>
    </w:p>
    <w:p w:rsidR="00000000" w:rsidDel="00000000" w:rsidP="00000000" w:rsidRDefault="00000000" w:rsidRPr="00000000" w14:paraId="0000004A">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ejecutivo HLD v5 (</w:t>
      </w:r>
      <w:r w:rsidDel="00000000" w:rsidR="00000000" w:rsidRPr="00000000">
        <w:rPr>
          <w:rFonts w:ascii="Times New Roman" w:cs="Times New Roman" w:eastAsia="Times New Roman" w:hAnsi="Times New Roman"/>
          <w:sz w:val="20"/>
          <w:szCs w:val="20"/>
          <w:shd w:fill="efefef" w:val="clear"/>
          <w:rtl w:val="0"/>
        </w:rPr>
        <w:t xml:space="preserve">Fixia_HLD_v5_ejecutivo (1).jpg</w:t>
      </w:r>
      <w:r w:rsidDel="00000000" w:rsidR="00000000" w:rsidRPr="00000000">
        <w:rPr>
          <w:rFonts w:ascii="Times New Roman" w:cs="Times New Roman" w:eastAsia="Times New Roman" w:hAnsi="Times New Roman"/>
          <w:rtl w:val="0"/>
        </w:rPr>
        <w:t xml:space="preserve">) es la representación gráfica de referencia para el Sprint 2. Se reproduce aquí en Mermaid para mantenerlo editable dentro de este documento; ante cualquier discrepancia, el archivo HLD v5 original prevalece.</w:t>
      </w:r>
    </w:p>
    <w:p w:rsidR="00000000" w:rsidDel="00000000" w:rsidP="00000000" w:rsidRDefault="00000000" w:rsidRPr="00000000" w14:paraId="0000004B">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38989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4008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Vista de Componentes: Catálogo de Microservicios (Sprint 2)</w:t>
      </w:r>
    </w:p>
    <w:p w:rsidR="00000000" w:rsidDel="00000000" w:rsidP="00000000" w:rsidRDefault="00000000" w:rsidRPr="00000000" w14:paraId="0000004D">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catálogo de siete microservicios que se documenta a continuación sigue el diagrama ejecutivo </w:t>
      </w:r>
      <w:r w:rsidDel="00000000" w:rsidR="00000000" w:rsidRPr="00000000">
        <w:rPr>
          <w:rFonts w:ascii="Times New Roman" w:cs="Times New Roman" w:eastAsia="Times New Roman" w:hAnsi="Times New Roman"/>
          <w:b w:val="1"/>
          <w:bCs w:val="1"/>
          <w:rtl w:val="0"/>
        </w:rPr>
        <w:t xml:space="preserve">HLD v5</w:t>
      </w:r>
      <w:r w:rsidDel="00000000" w:rsidR="00000000" w:rsidRPr="00000000">
        <w:rPr>
          <w:rFonts w:ascii="Times New Roman" w:cs="Times New Roman" w:eastAsia="Times New Roman" w:hAnsi="Times New Roman"/>
          <w:rtl w:val="0"/>
        </w:rPr>
        <w:t xml:space="preserve">, que es la fuente más reciente y la que concilia — parcialmente — los nombres distintos que usaban el SAD V2 §8.2 (seis microservicios de negocio) y el Documento de Arquitectura de Infraestructura (siete microservicios, con nombres distintos: </w:t>
      </w:r>
      <w:r w:rsidDel="00000000" w:rsidR="00000000" w:rsidRPr="00000000">
        <w:rPr>
          <w:rFonts w:ascii="Times New Roman" w:cs="Times New Roman" w:eastAsia="Times New Roman" w:hAnsi="Times New Roman"/>
          <w:sz w:val="20"/>
          <w:szCs w:val="20"/>
          <w:shd w:fill="efefef" w:val="clear"/>
          <w:rtl w:val="0"/>
        </w:rPr>
        <w:t xml:space="preserve">ms-users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ms-auth-grading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ms-services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ms-pago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ms-communication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ms-ingesta-lakehouse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ms-matching-geo</w:t>
      </w:r>
      <w:r w:rsidDel="00000000" w:rsidR="00000000" w:rsidRPr="00000000">
        <w:rPr>
          <w:rFonts w:ascii="Times New Roman" w:cs="Times New Roman" w:eastAsia="Times New Roman" w:hAnsi="Times New Roman"/>
          <w:rtl w:val="0"/>
        </w:rPr>
        <w:t xml:space="preserve">). El propio Registro de ADR — Sprint 2 (§7, punto 2) deja constancia de esa inconsistencia como no cerrada formalmente; este SDD usa la nomenclatura del HLD v5 por ser la más reciente y la más consistente con el ADR-021, pero </w:t>
      </w:r>
      <w:r w:rsidDel="00000000" w:rsidR="00000000" w:rsidRPr="00000000">
        <w:rPr>
          <w:rFonts w:ascii="Times New Roman" w:cs="Times New Roman" w:eastAsia="Times New Roman" w:hAnsi="Times New Roman"/>
          <w:b w:val="1"/>
          <w:bCs w:val="1"/>
          <w:rtl w:val="0"/>
        </w:rPr>
        <w:t xml:space="preserve">no da por resuelta</w:t>
      </w:r>
      <w:r w:rsidDel="00000000" w:rsidR="00000000" w:rsidRPr="00000000">
        <w:rPr>
          <w:rFonts w:ascii="Times New Roman" w:cs="Times New Roman" w:eastAsia="Times New Roman" w:hAnsi="Times New Roman"/>
          <w:rtl w:val="0"/>
        </w:rPr>
        <w:t xml:space="preserve"> la inconsistencia documental hasta que el equipo la unifique explícitamente en el SAD y el Documento de Infraestructura (ver </w:t>
      </w:r>
      <w:hyperlink w:anchor="1wq9tq42alww">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 xml:space="preserve">).</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0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dce6f1" w:val="clear"/>
            <w:tcMar>
              <w:top w:w="60.0" w:type="dxa"/>
              <w:left w:w="100.0" w:type="dxa"/>
              <w:bottom w:w="60.0" w:type="dxa"/>
              <w:right w:w="100.0" w:type="dxa"/>
            </w:tcMar>
          </w:tcPr>
          <w:p w:rsidR="00000000" w:rsidDel="00000000" w:rsidP="00000000" w:rsidRDefault="00000000" w:rsidRPr="00000000" w14:paraId="000000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Microservicio</w:t>
            </w:r>
          </w:p>
        </w:tc>
        <w:tc>
          <w:tcPr>
            <w:shd w:fill="dce6f1" w:val="clear"/>
            <w:tcMar>
              <w:top w:w="60.0" w:type="dxa"/>
              <w:left w:w="100.0" w:type="dxa"/>
              <w:bottom w:w="60.0" w:type="dxa"/>
              <w:right w:w="100.0" w:type="dxa"/>
            </w:tcMar>
          </w:tcPr>
          <w:p w:rsidR="00000000" w:rsidDel="00000000" w:rsidP="00000000" w:rsidRDefault="00000000" w:rsidRPr="00000000" w14:paraId="0000005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w:t>
            </w:r>
          </w:p>
        </w:tc>
        <w:tc>
          <w:tcPr>
            <w:shd w:fill="dce6f1" w:val="clear"/>
            <w:tcMar>
              <w:top w:w="60.0" w:type="dxa"/>
              <w:left w:w="100.0" w:type="dxa"/>
              <w:bottom w:w="60.0" w:type="dxa"/>
              <w:right w:w="100.0" w:type="dxa"/>
            </w:tcMar>
          </w:tcPr>
          <w:p w:rsidR="00000000" w:rsidDel="00000000" w:rsidP="00000000" w:rsidRDefault="00000000" w:rsidRPr="00000000" w14:paraId="000000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Persistencia</w:t>
            </w:r>
          </w:p>
        </w:tc>
        <w:tc>
          <w:tcPr>
            <w:shd w:fill="dce6f1" w:val="clear"/>
            <w:tcMar>
              <w:top w:w="60.0" w:type="dxa"/>
              <w:left w:w="100.0" w:type="dxa"/>
              <w:bottom w:w="60.0" w:type="dxa"/>
              <w:right w:w="100.0" w:type="dxa"/>
            </w:tcMar>
          </w:tcPr>
          <w:p w:rsidR="00000000" w:rsidDel="00000000" w:rsidP="00000000" w:rsidRDefault="00000000" w:rsidRPr="00000000" w14:paraId="000000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Módulo(s) SRS V3</w:t>
            </w:r>
          </w:p>
        </w:tc>
        <w:tc>
          <w:tcPr>
            <w:shd w:fill="dce6f1" w:val="clear"/>
            <w:tcMar>
              <w:top w:w="60.0" w:type="dxa"/>
              <w:left w:w="100.0" w:type="dxa"/>
              <w:bottom w:w="60.0" w:type="dxa"/>
              <w:right w:w="100.0" w:type="dxa"/>
            </w:tcMar>
          </w:tcPr>
          <w:p w:rsidR="00000000" w:rsidDel="00000000" w:rsidP="00000000" w:rsidRDefault="00000000" w:rsidRPr="00000000" w14:paraId="000000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60.0" w:type="dxa"/>
              <w:left w:w="100.0" w:type="dxa"/>
              <w:bottom w:w="60.0" w:type="dxa"/>
              <w:right w:w="100.0" w:type="dxa"/>
            </w:tcMar>
          </w:tcPr>
          <w:p w:rsidR="00000000" w:rsidDel="00000000" w:rsidP="00000000" w:rsidRDefault="00000000" w:rsidRPr="00000000" w14:paraId="000000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ms-usuarios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21 + Spring Boot</w:t>
            </w:r>
          </w:p>
        </w:tc>
        <w:tc>
          <w:tcPr>
            <w:tcMar>
              <w:top w:w="60.0" w:type="dxa"/>
              <w:left w:w="100.0" w:type="dxa"/>
              <w:bottom w:w="60.0" w:type="dxa"/>
              <w:right w:w="100.0" w:type="dxa"/>
            </w:tcMar>
          </w:tcPr>
          <w:p w:rsidR="00000000" w:rsidDel="00000000" w:rsidP="00000000" w:rsidRDefault="00000000" w:rsidRPr="00000000" w14:paraId="0000005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dedicado</w:t>
            </w:r>
          </w:p>
        </w:tc>
        <w:tc>
          <w:tcPr>
            <w:tcMar>
              <w:top w:w="60.0" w:type="dxa"/>
              <w:left w:w="100.0" w:type="dxa"/>
              <w:bottom w:w="60.0" w:type="dxa"/>
              <w:right w:w="100.0" w:type="dxa"/>
            </w:tcMar>
          </w:tcPr>
          <w:p w:rsidR="00000000" w:rsidDel="00000000" w:rsidP="00000000" w:rsidRDefault="00000000" w:rsidRPr="00000000" w14:paraId="000000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MF-01</w:t>
            </w:r>
          </w:p>
        </w:tc>
        <w:tc>
          <w:tcPr>
            <w:tcMar>
              <w:top w:w="60.0" w:type="dxa"/>
              <w:left w:w="100.0" w:type="dxa"/>
              <w:bottom w:w="60.0" w:type="dxa"/>
              <w:right w:w="100.0" w:type="dxa"/>
            </w:tcMar>
          </w:tcPr>
          <w:p w:rsidR="00000000" w:rsidDel="00000000" w:rsidP="00000000" w:rsidRDefault="00000000" w:rsidRPr="00000000" w14:paraId="000000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Identidad, credenciales, sesión, roles, consentimiento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60.0" w:type="dxa"/>
              <w:left w:w="100.0" w:type="dxa"/>
              <w:bottom w:w="60.0" w:type="dxa"/>
              <w:right w:w="100.0" w:type="dxa"/>
            </w:tcMar>
          </w:tcPr>
          <w:p w:rsidR="00000000" w:rsidDel="00000000" w:rsidP="00000000" w:rsidRDefault="00000000" w:rsidRPr="00000000" w14:paraId="000000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ms-tecnicos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21 + Spring Boot</w:t>
            </w:r>
          </w:p>
        </w:tc>
        <w:tc>
          <w:tcPr>
            <w:tcMar>
              <w:top w:w="60.0" w:type="dxa"/>
              <w:left w:w="100.0" w:type="dxa"/>
              <w:bottom w:w="60.0" w:type="dxa"/>
              <w:right w:w="100.0" w:type="dxa"/>
            </w:tcMar>
          </w:tcPr>
          <w:p w:rsidR="00000000" w:rsidDel="00000000" w:rsidP="00000000" w:rsidRDefault="00000000" w:rsidRPr="00000000" w14:paraId="0000005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dedicado</w:t>
            </w:r>
          </w:p>
        </w:tc>
        <w:tc>
          <w:tcPr>
            <w:tcMar>
              <w:top w:w="60.0" w:type="dxa"/>
              <w:left w:w="100.0" w:type="dxa"/>
              <w:bottom w:w="60.0" w:type="dxa"/>
              <w:right w:w="100.0" w:type="dxa"/>
            </w:tcMar>
          </w:tcPr>
          <w:p w:rsidR="00000000" w:rsidDel="00000000" w:rsidP="00000000" w:rsidRDefault="00000000" w:rsidRPr="00000000" w14:paraId="0000005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MF-02</w:t>
            </w:r>
          </w:p>
        </w:tc>
        <w:tc>
          <w:tcPr>
            <w:tcMar>
              <w:top w:w="60.0" w:type="dxa"/>
              <w:left w:w="100.0" w:type="dxa"/>
              <w:bottom w:w="60.0" w:type="dxa"/>
              <w:right w:w="100.0" w:type="dxa"/>
            </w:tcMar>
          </w:tcPr>
          <w:p w:rsidR="00000000" w:rsidDel="00000000" w:rsidP="00000000" w:rsidRDefault="00000000" w:rsidRPr="00000000" w14:paraId="000000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 profesional, especialidades, disponibilidad, verificación</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60.0" w:type="dxa"/>
              <w:left w:w="100.0" w:type="dxa"/>
              <w:bottom w:w="60.0" w:type="dxa"/>
              <w:right w:w="100.0" w:type="dxa"/>
            </w:tcMar>
          </w:tcPr>
          <w:p w:rsidR="00000000" w:rsidDel="00000000" w:rsidP="00000000" w:rsidRDefault="00000000" w:rsidRPr="00000000" w14:paraId="000000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21 + Spring Boot</w:t>
            </w:r>
          </w:p>
        </w:tc>
        <w:tc>
          <w:tcPr>
            <w:tcMar>
              <w:top w:w="60.0" w:type="dxa"/>
              <w:left w:w="100.0" w:type="dxa"/>
              <w:bottom w:w="60.0" w:type="dxa"/>
              <w:right w:w="100.0" w:type="dxa"/>
            </w:tcMar>
          </w:tcPr>
          <w:p w:rsidR="00000000" w:rsidDel="00000000" w:rsidP="00000000" w:rsidRDefault="00000000" w:rsidRPr="00000000" w14:paraId="000000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dedicado</w:t>
            </w:r>
          </w:p>
        </w:tc>
        <w:tc>
          <w:tcPr>
            <w:tcMar>
              <w:top w:w="60.0" w:type="dxa"/>
              <w:left w:w="100.0" w:type="dxa"/>
              <w:bottom w:w="60.0" w:type="dxa"/>
              <w:right w:w="100.0" w:type="dxa"/>
            </w:tcMar>
          </w:tcPr>
          <w:p w:rsidR="00000000" w:rsidDel="00000000" w:rsidP="00000000" w:rsidRDefault="00000000" w:rsidRPr="00000000" w14:paraId="0000006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MF-03, MF-04, MF-06, MF-07</w:t>
            </w:r>
          </w:p>
        </w:tc>
        <w:tc>
          <w:tcPr>
            <w:tcMar>
              <w:top w:w="60.0" w:type="dxa"/>
              <w:left w:w="100.0" w:type="dxa"/>
              <w:bottom w:w="60.0" w:type="dxa"/>
              <w:right w:w="100.0" w:type="dxa"/>
            </w:tcMar>
          </w:tcPr>
          <w:p w:rsidR="00000000" w:rsidDel="00000000" w:rsidP="00000000" w:rsidRDefault="00000000" w:rsidRPr="00000000" w14:paraId="0000006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Publicación, postulación, cotización, contratación, ejecución/cierre; </w:t>
            </w:r>
            <w:r w:rsidDel="00000000" w:rsidR="00000000" w:rsidRPr="00000000">
              <w:rPr>
                <w:rFonts w:ascii="Times New Roman" w:cs="Times New Roman" w:eastAsia="Times New Roman" w:hAnsi="Times New Roman"/>
                <w:b w:val="1"/>
                <w:bCs w:val="1"/>
                <w:rtl w:val="0"/>
              </w:rPr>
              <w:t xml:space="preserve">orquesta la Saga</w:t>
            </w:r>
            <w:r w:rsidDel="00000000" w:rsidR="00000000" w:rsidRPr="00000000">
              <w:rPr>
                <w:rFonts w:ascii="Times New Roman" w:cs="Times New Roman" w:eastAsia="Times New Roman" w:hAnsi="Times New Roman"/>
                <w:rtl w:val="0"/>
              </w:rPr>
              <w:t xml:space="preserve">; incluye Reputación y Reseñas acoplada (ver nota de simplificación MVP)</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60.0" w:type="dxa"/>
              <w:left w:w="100.0" w:type="dxa"/>
              <w:bottom w:w="60.0" w:type="dxa"/>
              <w:right w:w="100.0" w:type="dxa"/>
            </w:tcMar>
          </w:tcPr>
          <w:p w:rsidR="00000000" w:rsidDel="00000000" w:rsidP="00000000" w:rsidRDefault="00000000" w:rsidRPr="00000000" w14:paraId="0000006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ms-comunicacion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21 + Spring Boot</w:t>
            </w:r>
          </w:p>
        </w:tc>
        <w:tc>
          <w:tcPr>
            <w:tcMar>
              <w:top w:w="60.0" w:type="dxa"/>
              <w:left w:w="100.0" w:type="dxa"/>
              <w:bottom w:w="60.0" w:type="dxa"/>
              <w:right w:w="100.0" w:type="dxa"/>
            </w:tcMar>
          </w:tcPr>
          <w:p w:rsidR="00000000" w:rsidDel="00000000" w:rsidP="00000000" w:rsidRDefault="00000000" w:rsidRPr="00000000" w14:paraId="0000006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 MinIO (evidencias)</w:t>
            </w:r>
          </w:p>
        </w:tc>
        <w:tc>
          <w:tcPr>
            <w:tcMar>
              <w:top w:w="60.0" w:type="dxa"/>
              <w:left w:w="100.0" w:type="dxa"/>
              <w:bottom w:w="60.0" w:type="dxa"/>
              <w:right w:w="100.0" w:type="dxa"/>
            </w:tcMar>
          </w:tcPr>
          <w:p w:rsidR="00000000" w:rsidDel="00000000" w:rsidP="00000000" w:rsidRDefault="00000000" w:rsidRPr="00000000" w14:paraId="0000006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MF-05</w:t>
            </w:r>
          </w:p>
        </w:tc>
        <w:tc>
          <w:tcPr>
            <w:tcMar>
              <w:top w:w="60.0" w:type="dxa"/>
              <w:left w:w="100.0" w:type="dxa"/>
              <w:bottom w:w="60.0" w:type="dxa"/>
              <w:right w:w="100.0" w:type="dxa"/>
            </w:tcMar>
          </w:tcPr>
          <w:p w:rsidR="00000000" w:rsidDel="00000000" w:rsidP="00000000" w:rsidRDefault="00000000" w:rsidRPr="00000000" w14:paraId="0000006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notificaciones, adjuntos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60.0" w:type="dxa"/>
              <w:left w:w="100.0" w:type="dxa"/>
              <w:bottom w:w="60.0" w:type="dxa"/>
              <w:right w:w="100.0" w:type="dxa"/>
            </w:tcMar>
          </w:tcPr>
          <w:p w:rsidR="00000000" w:rsidDel="00000000" w:rsidP="00000000" w:rsidRDefault="00000000" w:rsidRPr="00000000" w14:paraId="0000006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ms-pagos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21 + Spring Boot</w:t>
            </w:r>
          </w:p>
        </w:tc>
        <w:tc>
          <w:tcPr>
            <w:tcMar>
              <w:top w:w="60.0" w:type="dxa"/>
              <w:left w:w="100.0" w:type="dxa"/>
              <w:bottom w:w="60.0" w:type="dxa"/>
              <w:right w:w="100.0" w:type="dxa"/>
            </w:tcMar>
          </w:tcPr>
          <w:p w:rsidR="00000000" w:rsidDel="00000000" w:rsidP="00000000" w:rsidRDefault="00000000" w:rsidRPr="00000000" w14:paraId="0000006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dedicado</w:t>
            </w:r>
          </w:p>
        </w:tc>
        <w:tc>
          <w:tcPr>
            <w:tcMar>
              <w:top w:w="60.0" w:type="dxa"/>
              <w:left w:w="100.0" w:type="dxa"/>
              <w:bottom w:w="60.0" w:type="dxa"/>
              <w:right w:w="100.0" w:type="dxa"/>
            </w:tcMar>
          </w:tcPr>
          <w:p w:rsidR="00000000" w:rsidDel="00000000" w:rsidP="00000000" w:rsidRDefault="00000000" w:rsidRPr="00000000" w14:paraId="0000007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MF-08</w:t>
            </w:r>
          </w:p>
        </w:tc>
        <w:tc>
          <w:tcPr>
            <w:tcMar>
              <w:top w:w="60.0" w:type="dxa"/>
              <w:left w:w="100.0" w:type="dxa"/>
              <w:bottom w:w="60.0" w:type="dxa"/>
              <w:right w:w="100.0" w:type="dxa"/>
            </w:tcMar>
          </w:tcPr>
          <w:p w:rsidR="00000000" w:rsidDel="00000000" w:rsidP="00000000" w:rsidRDefault="00000000" w:rsidRPr="00000000" w14:paraId="0000007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comisión, saldo, retiros, reembolsos, disputas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60.0" w:type="dxa"/>
              <w:left w:w="100.0" w:type="dxa"/>
              <w:bottom w:w="60.0" w:type="dxa"/>
              <w:right w:w="100.0" w:type="dxa"/>
            </w:tcMar>
          </w:tcPr>
          <w:p w:rsidR="00000000" w:rsidDel="00000000" w:rsidP="00000000" w:rsidRDefault="00000000" w:rsidRPr="00000000" w14:paraId="0000007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ms-matching-geo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 FastAPI</w:t>
            </w:r>
          </w:p>
        </w:tc>
        <w:tc>
          <w:tcPr>
            <w:tcMar>
              <w:top w:w="60.0" w:type="dxa"/>
              <w:left w:w="100.0" w:type="dxa"/>
              <w:bottom w:w="60.0" w:type="dxa"/>
              <w:right w:w="100.0" w:type="dxa"/>
            </w:tcMar>
          </w:tcPr>
          <w:p w:rsidR="00000000" w:rsidDel="00000000" w:rsidP="00000000" w:rsidRDefault="00000000" w:rsidRPr="00000000" w14:paraId="0000007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 PostGIS</w:t>
            </w:r>
          </w:p>
        </w:tc>
        <w:tc>
          <w:tcPr>
            <w:tcMar>
              <w:top w:w="60.0" w:type="dxa"/>
              <w:left w:w="100.0" w:type="dxa"/>
              <w:bottom w:w="60.0" w:type="dxa"/>
              <w:right w:w="100.0" w:type="dxa"/>
            </w:tcMar>
          </w:tcPr>
          <w:p w:rsidR="00000000" w:rsidDel="00000000" w:rsidP="00000000" w:rsidRDefault="00000000" w:rsidRPr="00000000" w14:paraId="0000007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MF-03 (parcial)</w:t>
            </w:r>
          </w:p>
        </w:tc>
        <w:tc>
          <w:tcPr>
            <w:tcMar>
              <w:top w:w="60.0" w:type="dxa"/>
              <w:left w:w="100.0" w:type="dxa"/>
              <w:bottom w:w="60.0" w:type="dxa"/>
              <w:right w:w="100.0" w:type="dxa"/>
            </w:tcMar>
          </w:tcPr>
          <w:p w:rsidR="00000000" w:rsidDel="00000000" w:rsidP="00000000" w:rsidRDefault="00000000" w:rsidRPr="00000000" w14:paraId="0000007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por proximidad geográfica, ranking de candidatos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7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60.0" w:type="dxa"/>
              <w:left w:w="100.0" w:type="dxa"/>
              <w:bottom w:w="60.0" w:type="dxa"/>
              <w:right w:w="100.0" w:type="dxa"/>
            </w:tcMar>
          </w:tcPr>
          <w:p w:rsidR="00000000" w:rsidDel="00000000" w:rsidP="00000000" w:rsidRDefault="00000000" w:rsidRPr="00000000" w14:paraId="0000007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ms-ingesta-lakehouse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tc>
        <w:tc>
          <w:tcPr>
            <w:tcMar>
              <w:top w:w="60.0" w:type="dxa"/>
              <w:left w:w="100.0" w:type="dxa"/>
              <w:bottom w:w="60.0" w:type="dxa"/>
              <w:right w:w="100.0" w:type="dxa"/>
            </w:tcMar>
          </w:tcPr>
          <w:p w:rsidR="00000000" w:rsidDel="00000000" w:rsidP="00000000" w:rsidRDefault="00000000" w:rsidRPr="00000000" w14:paraId="0000007B">
            <w:pPr>
              <w:spacing w:after="0" w:lineRule="auto"/>
              <w:rPr>
                <w:rFonts w:ascii="Times New Roman" w:cs="Times New Roman" w:eastAsia="Times New Roman" w:hAnsi="Times New Roman"/>
              </w:rPr>
            </w:pPr>
            <w:r w:rsidDel="00000000" w:rsidR="00000000" w:rsidRPr="00000000">
              <w:rPr>
                <w:rFonts w:ascii="Cardo" w:cs="Cardo" w:eastAsia="Cardo" w:hAnsi="Cardo"/>
                <w:rtl w:val="0"/>
              </w:rPr>
              <w:t xml:space="preserve">CDC (Debezium) desde PostgreSQL/MongoDB → MinIO (namespace </w:t>
            </w:r>
            <w:r w:rsidDel="00000000" w:rsidR="00000000" w:rsidRPr="00000000">
              <w:rPr>
                <w:rFonts w:ascii="Times New Roman" w:cs="Times New Roman" w:eastAsia="Times New Roman" w:hAnsi="Times New Roman"/>
                <w:sz w:val="20"/>
                <w:szCs w:val="20"/>
                <w:shd w:fill="efefef" w:val="clear"/>
                <w:rtl w:val="0"/>
              </w:rPr>
              <w:t xml:space="preserve">storage</w:t>
            </w:r>
            <w:r w:rsidDel="00000000" w:rsidR="00000000" w:rsidRPr="00000000">
              <w:rPr>
                <w:rFonts w:ascii="Times New Roman" w:cs="Times New Roman" w:eastAsia="Times New Roman" w:hAnsi="Times New Roman"/>
                <w:rtl w:val="0"/>
              </w:rPr>
              <w:t xml:space="preserve">, lakehouse)</w:t>
            </w:r>
          </w:p>
        </w:tc>
        <w:tc>
          <w:tcPr>
            <w:tcMar>
              <w:top w:w="60.0" w:type="dxa"/>
              <w:left w:w="100.0" w:type="dxa"/>
              <w:bottom w:w="60.0" w:type="dxa"/>
              <w:right w:w="100.0" w:type="dxa"/>
            </w:tcMar>
          </w:tcPr>
          <w:p w:rsidR="00000000" w:rsidDel="00000000" w:rsidP="00000000" w:rsidRDefault="00000000" w:rsidRPr="00000000" w14:paraId="0000007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transversal (analítica)</w:t>
            </w:r>
          </w:p>
        </w:tc>
        <w:tc>
          <w:tcPr>
            <w:tcMar>
              <w:top w:w="60.0" w:type="dxa"/>
              <w:left w:w="100.0" w:type="dxa"/>
              <w:bottom w:w="60.0" w:type="dxa"/>
              <w:right w:w="100.0" w:type="dxa"/>
            </w:tcMar>
          </w:tcPr>
          <w:p w:rsidR="00000000" w:rsidDel="00000000" w:rsidP="00000000" w:rsidRDefault="00000000" w:rsidRPr="00000000" w14:paraId="0000007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Ingesta, normalización y consolidación analítica de eventos de todos los dominios (Data Lakehouse, ver </w:t>
            </w:r>
            <w:hyperlink w:anchor="qkkjdcmie8qs">
              <w:r w:rsidDel="00000000" w:rsidR="00000000" w:rsidRPr="00000000">
                <w:rPr>
                  <w:rFonts w:ascii="Times New Roman" w:cs="Times New Roman" w:eastAsia="Times New Roman" w:hAnsi="Times New Roman"/>
                  <w:rtl w:val="0"/>
                </w:rPr>
                <w:t xml:space="preserve">§8.5</w:t>
              </w:r>
            </w:hyperlink>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7E">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Componentes transversales (no son bounded contexts ni tienen datos propios de dominio):</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API Gateway / Ingress — Traefik</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(ADR-027): único punto de entrada; enrutamiento, terminación TLS, rate limiting, validación de JWT contra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ms-usuarios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Detrás de WAF y Reverse Proxy gestionados por red.</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Apache Kafka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(Strimzi Operator): bus de eventos; soporta la Saga coreografiada, el patrón Outbox, los Thin Events y el CDC hacia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ms-ingesta-lakehouse</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HashiCorp Vault</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(ADR-028): gestor centralizado de secretos en tiempo de ejecución (credenciales de BD, tokens, certificados), separado por ambiente.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Prometheus / Grafana / Loki / Alertmanager</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(ADR-031): observabilidad estándar (métricas, dashboards, logs, alertas).</w:t>
      </w:r>
    </w:p>
    <w:p w:rsidR="00000000" w:rsidDel="00000000" w:rsidP="00000000" w:rsidRDefault="00000000" w:rsidRPr="00000000" w14:paraId="00000084">
      <w:pPr>
        <w:spacing w:after="1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Estructura interna estándar</w:t>
      </w:r>
    </w:p>
    <w:p w:rsidR="00000000" w:rsidDel="00000000" w:rsidP="00000000" w:rsidRDefault="00000000" w:rsidRPr="00000000" w14:paraId="00000086">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microservicio de negocio en Java sigue Clean Architecture (ADR-014) con cuatro capas y regla de dependencia estricta hacia adentro, adaptada a paquetes Java en lugar de carpetas (la convención de la wiki en </w:t>
      </w:r>
      <w:r w:rsidDel="00000000" w:rsidR="00000000" w:rsidRPr="00000000">
        <w:rPr>
          <w:rFonts w:ascii="Times New Roman" w:cs="Times New Roman" w:eastAsia="Times New Roman" w:hAnsi="Times New Roman"/>
          <w:sz w:val="20"/>
          <w:szCs w:val="20"/>
          <w:shd w:fill="efefef" w:val="clear"/>
          <w:rtl w:val="0"/>
        </w:rPr>
        <w:t xml:space="preserve">08-estructura-microservicios/estructura-interna.md</w:t>
      </w:r>
      <w:r w:rsidDel="00000000" w:rsidR="00000000" w:rsidRPr="00000000">
        <w:rPr>
          <w:rFonts w:ascii="Times New Roman" w:cs="Times New Roman" w:eastAsia="Times New Roman" w:hAnsi="Times New Roman"/>
          <w:rtl w:val="0"/>
        </w:rPr>
        <w:t xml:space="preserve"> usa carpetas para el esquema Node.js original; con el cambio de stack de ADR-021 esa página debe actualizarse — ver </w:t>
      </w:r>
      <w:hyperlink w:anchor="1wq9tq42alww">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com.fixia.&lt;servicio&gt;/</w:t>
      </w:r>
      <w:r w:rsidDel="00000000" w:rsidR="00000000" w:rsidRPr="00000000">
        <w:rPr>
          <w:rtl w:val="0"/>
        </w:rPr>
      </w:r>
    </w:p>
    <w:p w:rsidR="00000000" w:rsidDel="00000000" w:rsidP="00000000" w:rsidRDefault="00000000" w:rsidRPr="00000000" w14:paraId="00000088">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domain/            # Entidades y reglas de negocio puras — cero dependencias externas</w:t>
      </w:r>
      <w:r w:rsidDel="00000000" w:rsidR="00000000" w:rsidRPr="00000000">
        <w:rPr>
          <w:rtl w:val="0"/>
        </w:rPr>
      </w:r>
    </w:p>
    <w:p w:rsidR="00000000" w:rsidDel="00000000" w:rsidP="00000000" w:rsidRDefault="00000000" w:rsidRPr="00000000" w14:paraId="00000089">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application/        # Casos de uso; interfaces de repositorios (puertos)</w:t>
      </w:r>
      <w:r w:rsidDel="00000000" w:rsidR="00000000" w:rsidRPr="00000000">
        <w:rPr>
          <w:rtl w:val="0"/>
        </w:rPr>
      </w:r>
    </w:p>
    <w:p w:rsidR="00000000" w:rsidDel="00000000" w:rsidP="00000000" w:rsidRDefault="00000000" w:rsidRPr="00000000" w14:paraId="0000008A">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infrastructure/     # Implementación de JPA/Mongo, clientes externos (Vault, pasarela de pago, Kafka)</w:t>
      </w:r>
      <w:r w:rsidDel="00000000" w:rsidR="00000000" w:rsidRPr="00000000">
        <w:rPr>
          <w:rtl w:val="0"/>
        </w:rPr>
      </w:r>
    </w:p>
    <w:p w:rsidR="00000000" w:rsidDel="00000000" w:rsidP="00000000" w:rsidRDefault="00000000" w:rsidRPr="00000000" w14:paraId="0000008B">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interfaces/         # Controllers REST/gRPC, DTOs, presenters</w:t>
      </w:r>
      <w:r w:rsidDel="00000000" w:rsidR="00000000" w:rsidRPr="00000000">
        <w:rPr>
          <w:rtl w:val="0"/>
        </w:rPr>
      </w:r>
    </w:p>
    <w:p w:rsidR="00000000" w:rsidDel="00000000" w:rsidP="00000000" w:rsidRDefault="00000000" w:rsidRPr="00000000" w14:paraId="0000008C">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domain/</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no depende de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application/</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application/</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no depende de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infrastructure/</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ni de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interfaces/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Patrón </w:t>
      </w: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Repository</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obligatorio para abstraer el acceso a datos.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Dependency Injection</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obligatoria (nativa de Spring) para inyectar dependencias en los casos de uso.</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Database per Service</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(ADR-015, ADR-022): cada microservicio con persistencia relacional tiene su propia instancia de PostgreSQL, con credenciales propias y reforzada mediante NetworkPolicies de denegación por defecto.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ms-matching-geo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(Python/FastAPI) y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ms-ingesta-lakehouse</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(Go) adaptan la misma separación conceptual de capas a la convención de su propio lenguaje.</w:t>
      </w:r>
    </w:p>
    <w:p w:rsidR="00000000" w:rsidDel="00000000" w:rsidP="00000000" w:rsidRDefault="00000000" w:rsidRPr="00000000" w14:paraId="00000091">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Diseño Detallado por Componente</w:t>
      </w:r>
    </w:p>
    <w:p w:rsidR="00000000" w:rsidDel="00000000" w:rsidP="00000000" w:rsidRDefault="00000000" w:rsidRPr="00000000" w14:paraId="00000094">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microservicio, el diseño detallado (entidades de dominio, casos de uso, contratos de API) vivirá en el README y </w:t>
      </w:r>
      <w:r w:rsidDel="00000000" w:rsidR="00000000" w:rsidRPr="00000000">
        <w:rPr>
          <w:rFonts w:ascii="Times New Roman" w:cs="Times New Roman" w:eastAsia="Times New Roman" w:hAnsi="Times New Roman"/>
          <w:sz w:val="20"/>
          <w:szCs w:val="20"/>
          <w:shd w:fill="efefef" w:val="clear"/>
          <w:rtl w:val="0"/>
        </w:rPr>
        <w:t xml:space="preserve">docs/openapi.yaml</w:t>
      </w:r>
      <w:r w:rsidDel="00000000" w:rsidR="00000000" w:rsidRPr="00000000">
        <w:rPr>
          <w:rFonts w:ascii="Times New Roman" w:cs="Times New Roman" w:eastAsia="Times New Roman" w:hAnsi="Times New Roman"/>
          <w:rtl w:val="0"/>
        </w:rPr>
        <w:t xml:space="preserve"> de su propio repositorio una vez creado. Este SDD documenta el criterio transversal y las decisiones ya cerradas por el SAD V2, el Registro de ADR — Sprint 2 y el DD V2; no duplica el detalle de implementación.</w:t>
      </w:r>
    </w:p>
    <w:p w:rsidR="00000000" w:rsidDel="00000000" w:rsidP="00000000" w:rsidRDefault="00000000" w:rsidRPr="00000000" w14:paraId="00000095">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w:t>
      </w:r>
      <w:r w:rsidDel="00000000" w:rsidR="00000000" w:rsidRPr="00000000">
        <w:rPr>
          <w:rFonts w:ascii="Times New Roman" w:cs="Times New Roman" w:eastAsia="Times New Roman" w:hAnsi="Times New Roman"/>
          <w:color w:val="000000"/>
          <w:sz w:val="20"/>
          <w:szCs w:val="20"/>
          <w:shd w:fill="efefef" w:val="clear"/>
          <w:rtl w:val="0"/>
        </w:rPr>
        <w:t xml:space="preserve">ms-servicios</w:t>
      </w:r>
      <w:r w:rsidDel="00000000" w:rsidR="00000000" w:rsidRPr="00000000">
        <w:rPr>
          <w:rFonts w:ascii="Times New Roman" w:cs="Times New Roman" w:eastAsia="Times New Roman" w:hAnsi="Times New Roman"/>
          <w:color w:val="000000"/>
          <w:rtl w:val="0"/>
        </w:rPr>
        <w:t xml:space="preserve"> — Saga coreografiada</w:t>
      </w:r>
    </w:p>
    <w:p w:rsidR="00000000" w:rsidDel="00000000" w:rsidP="00000000" w:rsidRDefault="00000000" w:rsidRPr="00000000" w14:paraId="00000096">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Fonts w:ascii="Cardo" w:cs="Cardo" w:eastAsia="Cardo" w:hAnsi="Cardo"/>
          <w:rtl w:val="0"/>
        </w:rPr>
        <w:t xml:space="preserve"> inicia el flujo transaccional de un Servicio (creación → confirmación → cierre) y coordina, mediante el patrón </w:t>
      </w:r>
      <w:r w:rsidDel="00000000" w:rsidR="00000000" w:rsidRPr="00000000">
        <w:rPr>
          <w:rFonts w:ascii="Times New Roman" w:cs="Times New Roman" w:eastAsia="Times New Roman" w:hAnsi="Times New Roman"/>
          <w:b w:val="1"/>
          <w:bCs w:val="1"/>
          <w:rtl w:val="0"/>
        </w:rPr>
        <w:t xml:space="preserve">Saga coreografiada</w:t>
      </w:r>
      <w:r w:rsidDel="00000000" w:rsidR="00000000" w:rsidRPr="00000000">
        <w:rPr>
          <w:rFonts w:ascii="Times New Roman" w:cs="Times New Roman" w:eastAsia="Times New Roman" w:hAnsi="Times New Roman"/>
          <w:rtl w:val="0"/>
        </w:rPr>
        <w:t xml:space="preserve"> (ADR-025), a </w:t>
      </w:r>
      <w:r w:rsidDel="00000000" w:rsidR="00000000" w:rsidRPr="00000000">
        <w:rPr>
          <w:rFonts w:ascii="Times New Roman" w:cs="Times New Roman" w:eastAsia="Times New Roman" w:hAnsi="Times New Roman"/>
          <w:sz w:val="20"/>
          <w:szCs w:val="20"/>
          <w:shd w:fill="efefef" w:val="clear"/>
          <w:rtl w:val="0"/>
        </w:rPr>
        <w:t xml:space="preserve">ms-pagos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Fonts w:ascii="Times New Roman" w:cs="Times New Roman" w:eastAsia="Times New Roman" w:hAnsi="Times New Roman"/>
          <w:rtl w:val="0"/>
        </w:rPr>
        <w:t xml:space="preserve"> (Descubridor, lógicamente) y </w:t>
      </w:r>
      <w:r w:rsidDel="00000000" w:rsidR="00000000" w:rsidRPr="00000000">
        <w:rPr>
          <w:rFonts w:ascii="Times New Roman" w:cs="Times New Roman" w:eastAsia="Times New Roman" w:hAnsi="Times New Roman"/>
          <w:sz w:val="20"/>
          <w:szCs w:val="20"/>
          <w:shd w:fill="efefef" w:val="clear"/>
          <w:rtl w:val="0"/>
        </w:rPr>
        <w:t xml:space="preserve">ms-comunicacion</w:t>
      </w:r>
      <w:r w:rsidDel="00000000" w:rsidR="00000000" w:rsidRPr="00000000">
        <w:rPr>
          <w:rFonts w:ascii="Times New Roman" w:cs="Times New Roman" w:eastAsia="Times New Roman" w:hAnsi="Times New Roman"/>
          <w:rtl w:val="0"/>
        </w:rPr>
        <w:t xml:space="preserve">, sin que exista un microservicio "Orquestador" dedicado que mantenga el estado completo de la transacción. Cada microservicio reacciona a eventos publicados por otros y publica los suyos propios. El SDD anterior dejaba esto como punto pendiente de una PoC (GC-198); el Sprint 2 ya lo cierra como decisión aceptada, con el matiz de nomenclatura que se documenta en </w:t>
      </w:r>
      <w:hyperlink w:anchor="1wq9tq42alww">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 xml:space="preserve"> (la Arquitectura de Datos V2 sigue titulando esta misma estrategia "Saga por Orquestación").</w:t>
      </w:r>
    </w:p>
    <w:p w:rsidR="00000000" w:rsidDel="00000000" w:rsidP="00000000" w:rsidRDefault="00000000" w:rsidRPr="00000000" w14:paraId="00000097">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 técnico (ADR-024, ADR-025):</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Toda transición transaccional relevante escribe, en la misma transacción local de PostgreSQL, un registro en la tabla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OUTBOX_SAGA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 proceso desatendido detecta el registro y publica en Kafka un evento mínimo (Thin Event): únicamente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{colección, id}</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nunca el objeto completo.</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microservicio consumidor decide si necesita más contexto y lo solicita mediante la API de lectura del microservicio propietario (patrón *pull*, no *push*).</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La idempotencia del paso de cobro se garantiza con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idempotency_key</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en la colección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Payment</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Ante un fallo de pago posterior a la confirmación del servicio, se ejecuta una transacción </w:t>
      </w: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compensatoria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explícita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SERVICIO.estado = CANCELADO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nunca un rollback físico cruzado entre PostgreSQL y MongoDB.</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 proceso de reconciliación periódico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ms-ingesta-lakehouse</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 Procesamiento) compara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servicio.payment_ref_id</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contra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Payment._id</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para detectar referencias huérfanas producidas por fallos de red; su frecuencia exacta no está especificada todavía.</w:t>
      </w:r>
    </w:p>
    <w:p w:rsidR="00000000" w:rsidDel="00000000" w:rsidP="00000000" w:rsidRDefault="00000000" w:rsidRPr="00000000" w14:paraId="0000009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referencia (creación y pago de un Servicio) — ver detalle completo en </w:t>
      </w:r>
      <w:hyperlink w:anchor="3yr8wdsckf6j">
        <w:r w:rsidDel="00000000" w:rsidR="00000000" w:rsidRPr="00000000">
          <w:rPr>
            <w:rFonts w:ascii="Times New Roman" w:cs="Times New Roman" w:eastAsia="Times New Roman" w:hAnsi="Times New Roman"/>
            <w:rtl w:val="0"/>
          </w:rPr>
          <w:t xml:space="preserve">§8.3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0">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w:t>
      </w:r>
      <w:r w:rsidDel="00000000" w:rsidR="00000000" w:rsidRPr="00000000">
        <w:rPr>
          <w:rFonts w:ascii="Times New Roman" w:cs="Times New Roman" w:eastAsia="Times New Roman" w:hAnsi="Times New Roman"/>
          <w:color w:val="000000"/>
          <w:sz w:val="20"/>
          <w:szCs w:val="20"/>
          <w:shd w:fill="efefef" w:val="clear"/>
          <w:rtl w:val="0"/>
        </w:rPr>
        <w:t xml:space="preserve">ms-matching-geo</w:t>
      </w:r>
      <w:r w:rsidDel="00000000" w:rsidR="00000000" w:rsidRPr="00000000">
        <w:rPr>
          <w:rFonts w:ascii="Times New Roman" w:cs="Times New Roman" w:eastAsia="Times New Roman" w:hAnsi="Times New Roman"/>
          <w:color w:val="000000"/>
          <w:rtl w:val="0"/>
        </w:rPr>
        <w:t xml:space="preserve"> — búsqueda por proximidad</w:t>
      </w:r>
    </w:p>
    <w:p w:rsidR="00000000" w:rsidDel="00000000" w:rsidP="00000000" w:rsidRDefault="00000000" w:rsidRPr="00000000" w14:paraId="000000A1">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Aísla la lógica de matching geográfico en Python + FastAPI + PostGIS (ADR-012, ADR-021), alimentado por eventos de disponibilidad/ubicación de otros dominios. El modelo de lectura optimizado para consultas geoespaciales (</w:t>
      </w:r>
      <w:r w:rsidDel="00000000" w:rsidR="00000000" w:rsidRPr="00000000">
        <w:rPr>
          <w:rFonts w:ascii="Times New Roman" w:cs="Times New Roman" w:eastAsia="Times New Roman" w:hAnsi="Times New Roman"/>
          <w:b w:val="1"/>
          <w:bCs w:val="1"/>
          <w:rtl w:val="0"/>
        </w:rPr>
        <w:t xml:space="preserve">CQRS</w:t>
      </w:r>
      <w:r w:rsidDel="00000000" w:rsidR="00000000" w:rsidRPr="00000000">
        <w:rPr>
          <w:rFonts w:ascii="Times New Roman" w:cs="Times New Roman" w:eastAsia="Times New Roman" w:hAnsi="Times New Roman"/>
          <w:rtl w:val="0"/>
        </w:rPr>
        <w:t xml:space="preserve">) sigue en estado </w:t>
      </w:r>
      <w:r w:rsidDel="00000000" w:rsidR="00000000" w:rsidRPr="00000000">
        <w:rPr>
          <w:rFonts w:ascii="Times New Roman" w:cs="Times New Roman" w:eastAsia="Times New Roman" w:hAnsi="Times New Roman"/>
          <w:b w:val="1"/>
          <w:bCs w:val="1"/>
          <w:rtl w:val="0"/>
        </w:rPr>
        <w:t xml:space="preserve">Evaluar</w:t>
      </w:r>
      <w:r w:rsidDel="00000000" w:rsidR="00000000" w:rsidRPr="00000000">
        <w:rPr>
          <w:rFonts w:ascii="Times New Roman" w:cs="Times New Roman" w:eastAsia="Times New Roman" w:hAnsi="Times New Roman"/>
          <w:rtl w:val="0"/>
        </w:rPr>
        <w:t xml:space="preserve"> en el Tech Radar de la wiki y en ADR-020 del SAD V2 — no se adopta en esta versión del diseño hasta contar con evidencia medida de volumen de búsquedas que lo justifique, y hasta validar Event-Driven de forma estable como prerrequisito técnico.</w:t>
      </w:r>
    </w:p>
    <w:p w:rsidR="00000000" w:rsidDel="00000000" w:rsidP="00000000" w:rsidRDefault="00000000" w:rsidRPr="00000000" w14:paraId="000000A2">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w:t>
      </w:r>
      <w:r w:rsidDel="00000000" w:rsidR="00000000" w:rsidRPr="00000000">
        <w:rPr>
          <w:rFonts w:ascii="Times New Roman" w:cs="Times New Roman" w:eastAsia="Times New Roman" w:hAnsi="Times New Roman"/>
          <w:color w:val="000000"/>
          <w:sz w:val="20"/>
          <w:szCs w:val="20"/>
          <w:shd w:fill="efefef" w:val="clear"/>
          <w:rtl w:val="0"/>
        </w:rPr>
        <w:t xml:space="preserve">ms-pagos</w:t>
      </w:r>
      <w:r w:rsidDel="00000000" w:rsidR="00000000" w:rsidRPr="00000000">
        <w:rPr>
          <w:rFonts w:ascii="Times New Roman" w:cs="Times New Roman" w:eastAsia="Times New Roman" w:hAnsi="Times New Roman"/>
          <w:color w:val="000000"/>
          <w:rtl w:val="0"/>
        </w:rPr>
        <w:t xml:space="preserve"> — pagos y billetera</w:t>
      </w:r>
    </w:p>
    <w:p w:rsidR="00000000" w:rsidDel="00000000" w:rsidP="00000000" w:rsidRDefault="00000000" w:rsidRPr="00000000" w14:paraId="000000A3">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 el procesamiento financiero: pago, retención, comisión, saldo disponible, retiros, reembolsos y bloqueo por disputa (MF-08). El cliente del SDK del proveedor de pagos vive aislado en </w:t>
      </w:r>
      <w:r w:rsidDel="00000000" w:rsidR="00000000" w:rsidRPr="00000000">
        <w:rPr>
          <w:rFonts w:ascii="Times New Roman" w:cs="Times New Roman" w:eastAsia="Times New Roman" w:hAnsi="Times New Roman"/>
          <w:sz w:val="20"/>
          <w:szCs w:val="20"/>
          <w:shd w:fill="efefef" w:val="clear"/>
          <w:rtl w:val="0"/>
        </w:rPr>
        <w:t xml:space="preserve">infrastructure/</w:t>
      </w:r>
      <w:r w:rsidDel="00000000" w:rsidR="00000000" w:rsidRPr="00000000">
        <w:rPr>
          <w:rFonts w:ascii="Times New Roman" w:cs="Times New Roman" w:eastAsia="Times New Roman" w:hAnsi="Times New Roman"/>
          <w:rtl w:val="0"/>
        </w:rPr>
        <w:t xml:space="preserve">, sin filtrar sus tipos hacia </w:t>
      </w:r>
      <w:r w:rsidDel="00000000" w:rsidR="00000000" w:rsidRPr="00000000">
        <w:rPr>
          <w:rFonts w:ascii="Times New Roman" w:cs="Times New Roman" w:eastAsia="Times New Roman" w:hAnsi="Times New Roman"/>
          <w:sz w:val="20"/>
          <w:szCs w:val="20"/>
          <w:shd w:fill="efefef" w:val="clear"/>
          <w:rtl w:val="0"/>
        </w:rPr>
        <w:t xml:space="preserve">domain/</w:t>
      </w:r>
      <w:r w:rsidDel="00000000" w:rsidR="00000000" w:rsidRPr="00000000">
        <w:rPr>
          <w:rFonts w:ascii="Times New Roman" w:cs="Times New Roman" w:eastAsia="Times New Roman" w:hAnsi="Times New Roman"/>
          <w:rtl w:val="0"/>
        </w:rPr>
        <w:t xml:space="preserve"> ni </w:t>
      </w:r>
      <w:r w:rsidDel="00000000" w:rsidR="00000000" w:rsidRPr="00000000">
        <w:rPr>
          <w:rFonts w:ascii="Times New Roman" w:cs="Times New Roman" w:eastAsia="Times New Roman" w:hAnsi="Times New Roman"/>
          <w:sz w:val="20"/>
          <w:szCs w:val="20"/>
          <w:shd w:fill="efefef" w:val="clear"/>
          <w:rtl w:val="0"/>
        </w:rPr>
        <w:t xml:space="preserve">application/</w:t>
      </w:r>
      <w:r w:rsidDel="00000000" w:rsidR="00000000" w:rsidRPr="00000000">
        <w:rPr>
          <w:rFonts w:ascii="Times New Roman" w:cs="Times New Roman" w:eastAsia="Times New Roman" w:hAnsi="Times New Roman"/>
          <w:rtl w:val="0"/>
        </w:rPr>
        <w:t xml:space="preserve"> (ADR-007, encapsulamiento de proveedores externos), para permitir en teoría un cambio de proveedor sin reescribir lógica de negocio.</w:t>
      </w:r>
    </w:p>
    <w:p w:rsidR="00000000" w:rsidDel="00000000" w:rsidP="00000000" w:rsidRDefault="00000000" w:rsidRPr="00000000" w14:paraId="000000A4">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Este es el componente cuyo diseño depende más directamente de una contradicción no resuelta entre las fuentes disponibles</w:t>
      </w:r>
      <w:r w:rsidDel="00000000" w:rsidR="00000000" w:rsidRPr="00000000">
        <w:rPr>
          <w:rFonts w:ascii="Times New Roman" w:cs="Times New Roman" w:eastAsia="Times New Roman" w:hAnsi="Times New Roman"/>
          <w:rtl w:val="0"/>
        </w:rPr>
        <w:t xml:space="preserve"> (ADR-004 de Sprint 1, que declara que Fixia no custodia fondos de terceros, frente al modelo de saldo retenido/disponible descrito en el SAD V2 §9.5 y exigido por el SRS V3 RF-057 a RF-073). El diseño de este documento sigue, por mayoría de fuentes y por ser el más reciente y el más detallado a nivel de datos (colección </w:t>
      </w:r>
      <w:r w:rsidDel="00000000" w:rsidR="00000000" w:rsidRPr="00000000">
        <w:rPr>
          <w:rFonts w:ascii="Times New Roman" w:cs="Times New Roman" w:eastAsia="Times New Roman" w:hAnsi="Times New Roman"/>
          <w:sz w:val="20"/>
          <w:szCs w:val="20"/>
          <w:shd w:fill="efefef" w:val="clear"/>
          <w:rtl w:val="0"/>
        </w:rPr>
        <w:t xml:space="preserve">Payment</w:t>
      </w:r>
      <w:r w:rsidDel="00000000" w:rsidR="00000000" w:rsidRPr="00000000">
        <w:rPr>
          <w:rFonts w:ascii="Times New Roman" w:cs="Times New Roman" w:eastAsia="Times New Roman" w:hAnsi="Times New Roman"/>
          <w:rtl w:val="0"/>
        </w:rPr>
        <w:t xml:space="preserve"> del DD V2, con campos </w:t>
      </w:r>
      <w:r w:rsidDel="00000000" w:rsidR="00000000" w:rsidRPr="00000000">
        <w:rPr>
          <w:rFonts w:ascii="Times New Roman" w:cs="Times New Roman" w:eastAsia="Times New Roman" w:hAnsi="Times New Roman"/>
          <w:sz w:val="20"/>
          <w:szCs w:val="20"/>
          <w:shd w:fill="efefef" w:val="clear"/>
          <w:rtl w:val="0"/>
        </w:rPr>
        <w:t xml:space="preserve">billetera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movimientos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disputa</w:t>
      </w:r>
      <w:r w:rsidDel="00000000" w:rsidR="00000000" w:rsidRPr="00000000">
        <w:rPr>
          <w:rFonts w:ascii="Times New Roman" w:cs="Times New Roman" w:eastAsia="Times New Roman" w:hAnsi="Times New Roman"/>
          <w:rtl w:val="0"/>
        </w:rPr>
        <w:t xml:space="preserve">), el modelo de </w:t>
      </w:r>
      <w:r w:rsidDel="00000000" w:rsidR="00000000" w:rsidRPr="00000000">
        <w:rPr>
          <w:rFonts w:ascii="Times New Roman" w:cs="Times New Roman" w:eastAsia="Times New Roman" w:hAnsi="Times New Roman"/>
          <w:b w:val="1"/>
          <w:bCs w:val="1"/>
          <w:rtl w:val="0"/>
        </w:rPr>
        <w:t xml:space="preserve">pago custodiado dentro de la plataforma</w:t>
      </w:r>
      <w:r w:rsidDel="00000000" w:rsidR="00000000" w:rsidRPr="00000000">
        <w:rPr>
          <w:rFonts w:ascii="Times New Roman" w:cs="Times New Roman" w:eastAsia="Times New Roman" w:hAnsi="Times New Roman"/>
          <w:rtl w:val="0"/>
        </w:rPr>
        <w:t xml:space="preserve">, pero esta decisión de fondo no debería considerarse cerrada para el equipo hasta que se registre un ADR que explícitamente reemplace o confirme ADR-004. Ver el detalle completo de esta contradicción en </w:t>
      </w:r>
      <w:hyperlink w:anchor="1wq9tq42alww">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w:t>
      </w:r>
      <w:r w:rsidDel="00000000" w:rsidR="00000000" w:rsidRPr="00000000">
        <w:rPr>
          <w:rFonts w:ascii="Times New Roman" w:cs="Times New Roman" w:eastAsia="Times New Roman" w:hAnsi="Times New Roman"/>
          <w:color w:val="000000"/>
          <w:sz w:val="20"/>
          <w:szCs w:val="20"/>
          <w:shd w:fill="efefef" w:val="clear"/>
          <w:rtl w:val="0"/>
        </w:rPr>
        <w:t xml:space="preserve">ms-tecnicos</w:t>
      </w:r>
      <w:r w:rsidDel="00000000" w:rsidR="00000000" w:rsidRPr="00000000">
        <w:rPr>
          <w:rFonts w:ascii="Times New Roman" w:cs="Times New Roman" w:eastAsia="Times New Roman" w:hAnsi="Times New Roman"/>
          <w:color w:val="000000"/>
          <w:rtl w:val="0"/>
        </w:rPr>
        <w:t xml:space="preserve"> — perfil y verificación</w:t>
      </w:r>
    </w:p>
    <w:p w:rsidR="00000000" w:rsidDel="00000000" w:rsidP="00000000" w:rsidRDefault="00000000" w:rsidRPr="00000000" w14:paraId="000000A6">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Custodia el perfil profesional del técnico (especialidades, zona, disponibilidad, cobertura geográfica) y, según el DD V2, comparte la tabla </w:t>
      </w:r>
      <w:r w:rsidDel="00000000" w:rsidR="00000000" w:rsidRPr="00000000">
        <w:rPr>
          <w:rFonts w:ascii="Times New Roman" w:cs="Times New Roman" w:eastAsia="Times New Roman" w:hAnsi="Times New Roman"/>
          <w:sz w:val="20"/>
          <w:szCs w:val="20"/>
          <w:shd w:fill="efefef" w:val="clear"/>
          <w:rtl w:val="0"/>
        </w:rPr>
        <w:t xml:space="preserve">TECNICO</w:t>
      </w:r>
      <w:r w:rsidDel="00000000" w:rsidR="00000000" w:rsidRPr="00000000">
        <w:rPr>
          <w:rFonts w:ascii="Times New Roman" w:cs="Times New Roman" w:eastAsia="Times New Roman" w:hAnsi="Times New Roman"/>
          <w:rtl w:val="0"/>
        </w:rPr>
        <w:t xml:space="preserve"> con el dominio lógico de Verificación (que actualiza el campo </w:t>
      </w:r>
      <w:r w:rsidDel="00000000" w:rsidR="00000000" w:rsidRPr="00000000">
        <w:rPr>
          <w:rFonts w:ascii="Times New Roman" w:cs="Times New Roman" w:eastAsia="Times New Roman" w:hAnsi="Times New Roman"/>
          <w:sz w:val="20"/>
          <w:szCs w:val="20"/>
          <w:shd w:fill="efefef" w:val="clear"/>
          <w:rtl w:val="0"/>
        </w:rPr>
        <w:t xml:space="preserve">estado_verificacion</w:t>
      </w:r>
      <w:r w:rsidDel="00000000" w:rsidR="00000000" w:rsidRPr="00000000">
        <w:rPr>
          <w:rFonts w:ascii="Times New Roman" w:cs="Times New Roman" w:eastAsia="Times New Roman" w:hAnsi="Times New Roman"/>
          <w:rtl w:val="0"/>
        </w:rPr>
        <w:t xml:space="preserve"> mediante un evento consumido por Autenticación/</w:t>
      </w:r>
      <w:r w:rsidDel="00000000" w:rsidR="00000000" w:rsidRPr="00000000">
        <w:rPr>
          <w:rFonts w:ascii="Times New Roman" w:cs="Times New Roman" w:eastAsia="Times New Roman" w:hAnsi="Times New Roman"/>
          <w:sz w:val="20"/>
          <w:szCs w:val="20"/>
          <w:shd w:fill="efefef" w:val="clear"/>
          <w:rtl w:val="0"/>
        </w:rPr>
        <w:t xml:space="preserve">ms-usuarios</w:t>
      </w:r>
      <w:r w:rsidDel="00000000" w:rsidR="00000000" w:rsidRPr="00000000">
        <w:rPr>
          <w:rFonts w:ascii="Times New Roman" w:cs="Times New Roman" w:eastAsia="Times New Roman" w:hAnsi="Times New Roman"/>
          <w:rtl w:val="0"/>
        </w:rPr>
        <w:t xml:space="preserve">). La relación exacta entre el dominio lógico "Verificación" del DD V2 y el microservicio físico </w:t>
      </w:r>
      <w:r w:rsidDel="00000000" w:rsidR="00000000" w:rsidRPr="00000000">
        <w:rPr>
          <w:rFonts w:ascii="Times New Roman" w:cs="Times New Roman" w:eastAsia="Times New Roman" w:hAnsi="Times New Roman"/>
          <w:sz w:val="20"/>
          <w:szCs w:val="20"/>
          <w:shd w:fill="efefef" w:val="clear"/>
          <w:rtl w:val="0"/>
        </w:rPr>
        <w:t xml:space="preserve">ms-tecnicos</w:t>
      </w:r>
      <w:r w:rsidDel="00000000" w:rsidR="00000000" w:rsidRPr="00000000">
        <w:rPr>
          <w:rFonts w:ascii="Times New Roman" w:cs="Times New Roman" w:eastAsia="Times New Roman" w:hAnsi="Times New Roman"/>
          <w:rtl w:val="0"/>
        </w:rPr>
        <w:t xml:space="preserve"> del HLD v5 no está explicitada por ninguna fuente — ver </w:t>
      </w:r>
      <w:hyperlink w:anchor="1wq9tq42alww">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microservicio es también el que debe absorber, en algún punto del diseño, el modelo de </w:t>
      </w:r>
      <w:r w:rsidDel="00000000" w:rsidR="00000000" w:rsidRPr="00000000">
        <w:rPr>
          <w:rFonts w:ascii="Times New Roman" w:cs="Times New Roman" w:eastAsia="Times New Roman" w:hAnsi="Times New Roman"/>
          <w:b w:val="1"/>
          <w:bCs w:val="1"/>
          <w:rtl w:val="0"/>
        </w:rPr>
        <w:t xml:space="preserve">empresas de servicios y técnicos asociados</w:t>
      </w:r>
      <w:r w:rsidDel="00000000" w:rsidR="00000000" w:rsidRPr="00000000">
        <w:rPr>
          <w:rFonts w:ascii="Times New Roman" w:cs="Times New Roman" w:eastAsia="Times New Roman" w:hAnsi="Times New Roman"/>
          <w:rtl w:val="0"/>
        </w:rPr>
        <w:t xml:space="preserve"> introducido por el SRS V3 (RF-016 a RF-019, RN-015 a RN-017): el DD V2 todavía no modela las entidades </w:t>
      </w:r>
      <w:r w:rsidDel="00000000" w:rsidR="00000000" w:rsidRPr="00000000">
        <w:rPr>
          <w:rFonts w:ascii="Times New Roman" w:cs="Times New Roman" w:eastAsia="Times New Roman" w:hAnsi="Times New Roman"/>
          <w:sz w:val="20"/>
          <w:szCs w:val="20"/>
          <w:shd w:fill="efefef" w:val="clear"/>
          <w:rtl w:val="0"/>
        </w:rPr>
        <w:t xml:space="preserve">Empresa</w:t>
      </w:r>
      <w:r w:rsidDel="00000000" w:rsidR="00000000" w:rsidRPr="00000000">
        <w:rPr>
          <w:rFonts w:ascii="Times New Roman" w:cs="Times New Roman" w:eastAsia="Times New Roman" w:hAnsi="Times New Roman"/>
          <w:rtl w:val="0"/>
        </w:rPr>
        <w:t xml:space="preserve"> ni </w:t>
      </w:r>
      <w:r w:rsidDel="00000000" w:rsidR="00000000" w:rsidRPr="00000000">
        <w:rPr>
          <w:rFonts w:ascii="Times New Roman" w:cs="Times New Roman" w:eastAsia="Times New Roman" w:hAnsi="Times New Roman"/>
          <w:sz w:val="20"/>
          <w:szCs w:val="20"/>
          <w:shd w:fill="efefef" w:val="clear"/>
          <w:rtl w:val="0"/>
        </w:rPr>
        <w:t xml:space="preserve">Asociación</w:t>
      </w:r>
      <w:r w:rsidDel="00000000" w:rsidR="00000000" w:rsidRPr="00000000">
        <w:rPr>
          <w:rFonts w:ascii="Times New Roman" w:cs="Times New Roman" w:eastAsia="Times New Roman" w:hAnsi="Times New Roman"/>
          <w:rtl w:val="0"/>
        </w:rPr>
        <w:t xml:space="preserve">, ni distingue entre prestador contratado y técnico ejecutor. Esta es una brecha de diseño explícita, marcada como pendiente por el propio SRS V3 (GC-228) — ver </w:t>
      </w:r>
      <w:hyperlink w:anchor="dnhy6i2iakbm">
        <w:r w:rsidDel="00000000" w:rsidR="00000000" w:rsidRPr="00000000">
          <w:rPr>
            <w:rFonts w:ascii="Times New Roman" w:cs="Times New Roman" w:eastAsia="Times New Roman" w:hAnsi="Times New Roman"/>
            <w:rtl w:val="0"/>
          </w:rPr>
          <w:t xml:space="preserve">§7.4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8">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w:t>
      </w:r>
      <w:r w:rsidDel="00000000" w:rsidR="00000000" w:rsidRPr="00000000">
        <w:rPr>
          <w:rFonts w:ascii="Times New Roman" w:cs="Times New Roman" w:eastAsia="Times New Roman" w:hAnsi="Times New Roman"/>
          <w:color w:val="000000"/>
          <w:sz w:val="20"/>
          <w:szCs w:val="20"/>
          <w:shd w:fill="efefef" w:val="clear"/>
          <w:rtl w:val="0"/>
        </w:rPr>
        <w:t xml:space="preserve">ms-ingesta-lakehouse</w:t>
      </w:r>
      <w:r w:rsidDel="00000000" w:rsidR="00000000" w:rsidRPr="00000000">
        <w:rPr>
          <w:rFonts w:ascii="Times New Roman" w:cs="Times New Roman" w:eastAsia="Times New Roman" w:hAnsi="Times New Roman"/>
          <w:color w:val="000000"/>
          <w:rtl w:val="0"/>
        </w:rPr>
        <w:t xml:space="preserve"> — arquitectura analítica</w:t>
      </w:r>
    </w:p>
    <w:p w:rsidR="00000000" w:rsidDel="00000000" w:rsidP="00000000" w:rsidRDefault="00000000" w:rsidRPr="00000000" w14:paraId="000000A9">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desarrollo completo en </w:t>
      </w:r>
      <w:hyperlink w:anchor="qkkjdcmie8qs">
        <w:r w:rsidDel="00000000" w:rsidR="00000000" w:rsidRPr="00000000">
          <w:rPr>
            <w:rFonts w:ascii="Times New Roman" w:cs="Times New Roman" w:eastAsia="Times New Roman" w:hAnsi="Times New Roman"/>
            <w:rtl w:val="0"/>
          </w:rPr>
          <w:t xml:space="preserve">§8.5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A">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Patrones de Diseño Aplicados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0A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Patrón</w:t>
            </w:r>
          </w:p>
        </w:tc>
        <w:tc>
          <w:tcPr>
            <w:shd w:fill="dce6f1" w:val="clear"/>
            <w:tcMar>
              <w:top w:w="60.0" w:type="dxa"/>
              <w:left w:w="100.0" w:type="dxa"/>
              <w:bottom w:w="60.0" w:type="dxa"/>
              <w:right w:w="100.0" w:type="dxa"/>
            </w:tcMar>
          </w:tcPr>
          <w:p w:rsidR="00000000" w:rsidDel="00000000" w:rsidP="00000000" w:rsidRDefault="00000000" w:rsidRPr="00000000" w14:paraId="000000A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w:t>
            </w:r>
          </w:p>
        </w:tc>
        <w:tc>
          <w:tcPr>
            <w:shd w:fill="dce6f1" w:val="clear"/>
            <w:tcMar>
              <w:top w:w="60.0" w:type="dxa"/>
              <w:left w:w="100.0" w:type="dxa"/>
              <w:bottom w:w="60.0" w:type="dxa"/>
              <w:right w:w="100.0" w:type="dxa"/>
            </w:tcMar>
          </w:tcPr>
          <w:p w:rsidR="00000000" w:rsidDel="00000000" w:rsidP="00000000" w:rsidRDefault="00000000" w:rsidRPr="00000000" w14:paraId="000000A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en Fixia</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Factory Method / Abstract Factory</w:t>
            </w:r>
          </w:p>
        </w:tc>
        <w:tc>
          <w:tcPr>
            <w:tcMar>
              <w:top w:w="60.0" w:type="dxa"/>
              <w:left w:w="100.0" w:type="dxa"/>
              <w:bottom w:w="60.0" w:type="dxa"/>
              <w:right w:w="100.0" w:type="dxa"/>
            </w:tcMar>
          </w:tcPr>
          <w:p w:rsidR="00000000" w:rsidDel="00000000" w:rsidP="00000000" w:rsidRDefault="00000000" w:rsidRPr="00000000" w14:paraId="000000B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Creacional</w:t>
            </w:r>
          </w:p>
        </w:tc>
        <w:tc>
          <w:tcPr>
            <w:tcMar>
              <w:top w:w="60.0" w:type="dxa"/>
              <w:left w:w="100.0" w:type="dxa"/>
              <w:bottom w:w="60.0" w:type="dxa"/>
              <w:right w:w="100.0" w:type="dxa"/>
            </w:tcMar>
          </w:tcPr>
          <w:p w:rsidR="00000000" w:rsidDel="00000000" w:rsidP="00000000" w:rsidRDefault="00000000" w:rsidRPr="00000000" w14:paraId="000000B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de pasarelas de pago según configuración de transacción</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Builder</w:t>
            </w:r>
          </w:p>
        </w:tc>
        <w:tc>
          <w:tcPr>
            <w:tcMar>
              <w:top w:w="60.0" w:type="dxa"/>
              <w:left w:w="100.0" w:type="dxa"/>
              <w:bottom w:w="60.0" w:type="dxa"/>
              <w:right w:w="100.0" w:type="dxa"/>
            </w:tcMar>
          </w:tcPr>
          <w:p w:rsidR="00000000" w:rsidDel="00000000" w:rsidP="00000000" w:rsidRDefault="00000000" w:rsidRPr="00000000" w14:paraId="000000B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Creacional</w:t>
            </w:r>
          </w:p>
        </w:tc>
        <w:tc>
          <w:tcPr>
            <w:tcMar>
              <w:top w:w="60.0" w:type="dxa"/>
              <w:left w:w="100.0" w:type="dxa"/>
              <w:bottom w:w="60.0" w:type="dxa"/>
              <w:right w:w="100.0" w:type="dxa"/>
            </w:tcMar>
          </w:tcPr>
          <w:p w:rsidR="00000000" w:rsidDel="00000000" w:rsidP="00000000" w:rsidRDefault="00000000" w:rsidRPr="00000000" w14:paraId="000000B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DTOs y entidades con muchos atributos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Adapter / Puertos y Adaptadores</w:t>
            </w:r>
          </w:p>
        </w:tc>
        <w:tc>
          <w:tcPr>
            <w:tcMar>
              <w:top w:w="60.0" w:type="dxa"/>
              <w:left w:w="100.0" w:type="dxa"/>
              <w:bottom w:w="60.0" w:type="dxa"/>
              <w:right w:w="100.0" w:type="dxa"/>
            </w:tcMar>
          </w:tcPr>
          <w:p w:rsidR="00000000" w:rsidDel="00000000" w:rsidP="00000000" w:rsidRDefault="00000000" w:rsidRPr="00000000" w14:paraId="000000B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Estructural</w:t>
            </w:r>
          </w:p>
        </w:tc>
        <w:tc>
          <w:tcPr>
            <w:tcMar>
              <w:top w:w="60.0" w:type="dxa"/>
              <w:left w:w="100.0" w:type="dxa"/>
              <w:bottom w:w="60.0" w:type="dxa"/>
              <w:right w:w="100.0" w:type="dxa"/>
            </w:tcMar>
          </w:tcPr>
          <w:p w:rsidR="00000000" w:rsidDel="00000000" w:rsidP="00000000" w:rsidRDefault="00000000" w:rsidRPr="00000000" w14:paraId="000000B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Encapsulamiento de proveedores externos (pagos, mapas, notificaciones, verificación) — ADR-007</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Decorator</w:t>
            </w:r>
          </w:p>
        </w:tc>
        <w:tc>
          <w:tcPr>
            <w:tcMar>
              <w:top w:w="60.0" w:type="dxa"/>
              <w:left w:w="100.0" w:type="dxa"/>
              <w:bottom w:w="60.0" w:type="dxa"/>
              <w:right w:w="100.0" w:type="dxa"/>
            </w:tcMar>
          </w:tcPr>
          <w:p w:rsidR="00000000" w:rsidDel="00000000" w:rsidP="00000000" w:rsidRDefault="00000000" w:rsidRPr="00000000" w14:paraId="000000B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Estructural</w:t>
            </w:r>
          </w:p>
        </w:tc>
        <w:tc>
          <w:tcPr>
            <w:tcMar>
              <w:top w:w="60.0" w:type="dxa"/>
              <w:left w:w="100.0" w:type="dxa"/>
              <w:bottom w:w="60.0" w:type="dxa"/>
              <w:right w:w="100.0" w:type="dxa"/>
            </w:tcMar>
          </w:tcPr>
          <w:p w:rsidR="00000000" w:rsidDel="00000000" w:rsidP="00000000" w:rsidRDefault="00000000" w:rsidRPr="00000000" w14:paraId="000000B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Caché o logging sobre repositorios sin modificar consultas base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w:t>
            </w:r>
          </w:p>
        </w:tc>
        <w:tc>
          <w:tcPr>
            <w:tcMar>
              <w:top w:w="60.0" w:type="dxa"/>
              <w:left w:w="100.0" w:type="dxa"/>
              <w:bottom w:w="60.0" w:type="dxa"/>
              <w:right w:w="100.0" w:type="dxa"/>
            </w:tcMar>
          </w:tcPr>
          <w:p w:rsidR="00000000" w:rsidDel="00000000" w:rsidP="00000000" w:rsidRDefault="00000000" w:rsidRPr="00000000" w14:paraId="000000B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Estructural (obligatorio)</w:t>
            </w:r>
          </w:p>
        </w:tc>
        <w:tc>
          <w:tcPr>
            <w:tcMar>
              <w:top w:w="60.0" w:type="dxa"/>
              <w:left w:w="100.0" w:type="dxa"/>
              <w:bottom w:w="60.0" w:type="dxa"/>
              <w:right w:w="100.0" w:type="dxa"/>
            </w:tcMar>
          </w:tcPr>
          <w:p w:rsidR="00000000" w:rsidDel="00000000" w:rsidP="00000000" w:rsidRDefault="00000000" w:rsidRPr="00000000" w14:paraId="000000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Abstracción de acceso a datos en todo microservicio — ADR-014</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w:t>
            </w:r>
          </w:p>
        </w:tc>
        <w:tc>
          <w:tcPr>
            <w:tcMar>
              <w:top w:w="60.0" w:type="dxa"/>
              <w:left w:w="100.0" w:type="dxa"/>
              <w:bottom w:w="60.0" w:type="dxa"/>
              <w:right w:w="100.0" w:type="dxa"/>
            </w:tcMar>
          </w:tcPr>
          <w:p w:rsidR="00000000" w:rsidDel="00000000" w:rsidP="00000000" w:rsidRDefault="00000000" w:rsidRPr="00000000" w14:paraId="000000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Comportamental</w:t>
            </w:r>
          </w:p>
        </w:tc>
        <w:tc>
          <w:tcPr>
            <w:tcMar>
              <w:top w:w="60.0" w:type="dxa"/>
              <w:left w:w="100.0" w:type="dxa"/>
              <w:bottom w:w="60.0" w:type="dxa"/>
              <w:right w:w="100.0" w:type="dxa"/>
            </w:tcMar>
          </w:tcPr>
          <w:p w:rsidR="00000000" w:rsidDel="00000000" w:rsidP="00000000" w:rsidRDefault="00000000" w:rsidRPr="00000000" w14:paraId="000000C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Algoritmos de cálculo de comisión según tipo de servicio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 Pub-Sub</w:t>
            </w:r>
          </w:p>
        </w:tc>
        <w:tc>
          <w:tcPr>
            <w:tcMar>
              <w:top w:w="60.0" w:type="dxa"/>
              <w:left w:w="100.0" w:type="dxa"/>
              <w:bottom w:w="60.0" w:type="dxa"/>
              <w:right w:w="100.0" w:type="dxa"/>
            </w:tcMar>
          </w:tcPr>
          <w:p w:rsidR="00000000" w:rsidDel="00000000" w:rsidP="00000000" w:rsidRDefault="00000000" w:rsidRPr="00000000" w14:paraId="000000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Comportamental</w:t>
            </w:r>
          </w:p>
        </w:tc>
        <w:tc>
          <w:tcPr>
            <w:tcMar>
              <w:top w:w="60.0" w:type="dxa"/>
              <w:left w:w="100.0" w:type="dxa"/>
              <w:bottom w:w="60.0" w:type="dxa"/>
              <w:right w:w="100.0" w:type="dxa"/>
            </w:tcMar>
          </w:tcPr>
          <w:p w:rsidR="00000000" w:rsidDel="00000000" w:rsidP="00000000" w:rsidRDefault="00000000" w:rsidRPr="00000000" w14:paraId="000000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Publicación/consumo de eventos de dominio vía Kafka</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Transactional Outbox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datos</w:t>
            </w:r>
          </w:p>
        </w:tc>
        <w:tc>
          <w:tcPr>
            <w:tcMar>
              <w:top w:w="60.0" w:type="dxa"/>
              <w:left w:w="100.0" w:type="dxa"/>
              <w:bottom w:w="60.0" w:type="dxa"/>
              <w:right w:w="100.0" w:type="dxa"/>
            </w:tcMar>
          </w:tcPr>
          <w:p w:rsidR="00000000" w:rsidDel="00000000" w:rsidP="00000000" w:rsidRDefault="00000000" w:rsidRPr="00000000" w14:paraId="000000C6">
            <w:pPr>
              <w:spacing w:after="0" w:lineRule="auto"/>
              <w:rPr>
                <w:rFonts w:ascii="Times New Roman" w:cs="Times New Roman" w:eastAsia="Times New Roman" w:hAnsi="Times New Roman"/>
              </w:rPr>
            </w:pPr>
            <w:r w:rsidDel="00000000" w:rsidR="00000000" w:rsidRPr="00000000">
              <w:rPr>
                <w:rFonts w:ascii="Cardo" w:cs="Cardo" w:eastAsia="Cardo" w:hAnsi="Cardo"/>
                <w:rtl w:val="0"/>
              </w:rPr>
              <w:t xml:space="preserve">Sincronización PostgreSQL → Kafka sin transacción distribuida — ADR-024</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Saga coreografiada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procesos</w:t>
            </w:r>
          </w:p>
        </w:tc>
        <w:tc>
          <w:tcPr>
            <w:tcMar>
              <w:top w:w="60.0" w:type="dxa"/>
              <w:left w:w="100.0" w:type="dxa"/>
              <w:bottom w:w="60.0" w:type="dxa"/>
              <w:right w:w="100.0" w:type="dxa"/>
            </w:tcMar>
          </w:tcPr>
          <w:p w:rsidR="00000000" w:rsidDel="00000000" w:rsidP="00000000" w:rsidRDefault="00000000" w:rsidRPr="00000000" w14:paraId="000000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Consistencia del ciclo de vida de un Servicio entre microservicios — ADR-025 (ver matiz de nomenclatura en §13)</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Thin Event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datos</w:t>
            </w:r>
          </w:p>
        </w:tc>
        <w:tc>
          <w:tcPr>
            <w:tcMar>
              <w:top w:w="60.0" w:type="dxa"/>
              <w:left w:w="100.0" w:type="dxa"/>
              <w:bottom w:w="60.0" w:type="dxa"/>
              <w:right w:w="100.0" w:type="dxa"/>
            </w:tcMar>
          </w:tcPr>
          <w:p w:rsidR="00000000" w:rsidDel="00000000" w:rsidP="00000000" w:rsidRDefault="00000000" w:rsidRPr="00000000" w14:paraId="000000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bus que solo referencia </w:t>
            </w:r>
            <w:r w:rsidDel="00000000" w:rsidR="00000000" w:rsidRPr="00000000">
              <w:rPr>
                <w:rFonts w:ascii="Times New Roman" w:cs="Times New Roman" w:eastAsia="Times New Roman" w:hAnsi="Times New Roman"/>
                <w:sz w:val="20"/>
                <w:szCs w:val="20"/>
                <w:shd w:fill="efefef" w:val="clear"/>
                <w:rtl w:val="0"/>
              </w:rPr>
              <w:t xml:space="preserve">{colección, id}</w:t>
            </w:r>
            <w:r w:rsidDel="00000000" w:rsidR="00000000" w:rsidRPr="00000000">
              <w:rPr>
                <w:rFonts w:ascii="Times New Roman" w:cs="Times New Roman" w:eastAsia="Times New Roman" w:hAnsi="Times New Roman"/>
                <w:rtl w:val="0"/>
              </w:rPr>
              <w:t xml:space="preserve">, nunca el objeto completo — ADR-024</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CQRS</w:t>
            </w:r>
          </w:p>
        </w:tc>
        <w:tc>
          <w:tcPr>
            <w:tcMar>
              <w:top w:w="60.0" w:type="dxa"/>
              <w:left w:w="100.0" w:type="dxa"/>
              <w:bottom w:w="60.0" w:type="dxa"/>
              <w:right w:w="100.0" w:type="dxa"/>
            </w:tcMar>
          </w:tcPr>
          <w:p w:rsidR="00000000" w:rsidDel="00000000" w:rsidP="00000000" w:rsidRDefault="00000000" w:rsidRPr="00000000" w14:paraId="000000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Comportamental (en evaluación)</w:t>
            </w:r>
          </w:p>
        </w:tc>
        <w:tc>
          <w:tcPr>
            <w:tcMar>
              <w:top w:w="60.0" w:type="dxa"/>
              <w:left w:w="100.0" w:type="dxa"/>
              <w:bottom w:w="60.0" w:type="dxa"/>
              <w:right w:w="100.0" w:type="dxa"/>
            </w:tcMar>
          </w:tcPr>
          <w:p w:rsidR="00000000" w:rsidDel="00000000" w:rsidP="00000000" w:rsidRDefault="00000000" w:rsidRPr="00000000" w14:paraId="000000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Candidato para el modelo de lectura geoespacial de </w:t>
            </w:r>
            <w:r w:rsidDel="00000000" w:rsidR="00000000" w:rsidRPr="00000000">
              <w:rPr>
                <w:rFonts w:ascii="Times New Roman" w:cs="Times New Roman" w:eastAsia="Times New Roman" w:hAnsi="Times New Roman"/>
                <w:sz w:val="20"/>
                <w:szCs w:val="20"/>
                <w:shd w:fill="efefef" w:val="clear"/>
                <w:rtl w:val="0"/>
              </w:rPr>
              <w:t xml:space="preserve">ms-matching-geo</w:t>
            </w:r>
            <w:r w:rsidDel="00000000" w:rsidR="00000000" w:rsidRPr="00000000">
              <w:rPr>
                <w:rFonts w:ascii="Times New Roman" w:cs="Times New Roman" w:eastAsia="Times New Roman" w:hAnsi="Times New Roman"/>
                <w:rtl w:val="0"/>
              </w:rPr>
              <w:t xml:space="preserve"> — ADR-020, aún en anillo Evaluar</w:t>
            </w:r>
          </w:p>
        </w:tc>
      </w:tr>
    </w:tbl>
    <w:p w:rsidR="00000000" w:rsidDel="00000000" w:rsidP="00000000" w:rsidRDefault="00000000" w:rsidRPr="00000000" w14:paraId="000000D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Arquitectura de Negocio</w:t>
      </w:r>
    </w:p>
    <w:p w:rsidR="00000000" w:rsidDel="00000000" w:rsidP="00000000" w:rsidRDefault="00000000" w:rsidRPr="00000000" w14:paraId="000000D3">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sección traduce el SAD V2 §9 al contexto de diseño: qué implica el modelo de negocio para los componentes descritos en las secciones anteriores.</w:t>
      </w:r>
    </w:p>
    <w:p w:rsidR="00000000" w:rsidDel="00000000" w:rsidP="00000000" w:rsidRDefault="00000000" w:rsidRPr="00000000" w14:paraId="000000D4">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Modelo de negocio</w:t>
      </w:r>
    </w:p>
    <w:p w:rsidR="00000000" w:rsidDel="00000000" w:rsidP="00000000" w:rsidRDefault="00000000" w:rsidRPr="00000000" w14:paraId="000000D5">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Fixia opera como marketplace administrado con relaciones </w:t>
      </w:r>
      <w:r w:rsidDel="00000000" w:rsidR="00000000" w:rsidRPr="00000000">
        <w:rPr>
          <w:rFonts w:ascii="Times New Roman" w:cs="Times New Roman" w:eastAsia="Times New Roman" w:hAnsi="Times New Roman"/>
          <w:b w:val="1"/>
          <w:bCs w:val="1"/>
          <w:rtl w:val="0"/>
        </w:rPr>
        <w:t xml:space="preserve">B2C</w:t>
      </w:r>
      <w:r w:rsidDel="00000000" w:rsidR="00000000" w:rsidRPr="00000000">
        <w:rPr>
          <w:rFonts w:ascii="Times New Roman" w:cs="Times New Roman" w:eastAsia="Times New Roman" w:hAnsi="Times New Roman"/>
          <w:rtl w:val="0"/>
        </w:rPr>
        <w:t xml:space="preserve"> (cliente–técnico independiente), </w:t>
      </w:r>
      <w:r w:rsidDel="00000000" w:rsidR="00000000" w:rsidRPr="00000000">
        <w:rPr>
          <w:rFonts w:ascii="Times New Roman" w:cs="Times New Roman" w:eastAsia="Times New Roman" w:hAnsi="Times New Roman"/>
          <w:b w:val="1"/>
          <w:bCs w:val="1"/>
          <w:rtl w:val="0"/>
        </w:rPr>
        <w:t xml:space="preserve">B2B</w:t>
      </w:r>
      <w:r w:rsidDel="00000000" w:rsidR="00000000" w:rsidRPr="00000000">
        <w:rPr>
          <w:rFonts w:ascii="Times New Roman" w:cs="Times New Roman" w:eastAsia="Times New Roman" w:hAnsi="Times New Roman"/>
          <w:rtl w:val="0"/>
        </w:rPr>
        <w:t xml:space="preserve"> (Fixia–empresa de servicios) y </w:t>
      </w:r>
      <w:r w:rsidDel="00000000" w:rsidR="00000000" w:rsidRPr="00000000">
        <w:rPr>
          <w:rFonts w:ascii="Times New Roman" w:cs="Times New Roman" w:eastAsia="Times New Roman" w:hAnsi="Times New Roman"/>
          <w:b w:val="1"/>
          <w:bCs w:val="1"/>
          <w:rtl w:val="0"/>
        </w:rPr>
        <w:t xml:space="preserve">B2B2C</w:t>
      </w:r>
      <w:r w:rsidDel="00000000" w:rsidR="00000000" w:rsidRPr="00000000">
        <w:rPr>
          <w:rFonts w:ascii="Times New Roman" w:cs="Times New Roman" w:eastAsia="Times New Roman" w:hAnsi="Times New Roman"/>
          <w:rtl w:val="0"/>
        </w:rPr>
        <w:t xml:space="preserve"> (empresa contratada vía Fixia que asigna un técnico propio). Ingresa mediante una comisión configurable sobre servicios completados.</w:t>
      </w:r>
    </w:p>
    <w:p w:rsidR="00000000" w:rsidDel="00000000" w:rsidP="00000000" w:rsidRDefault="00000000" w:rsidRPr="00000000" w14:paraId="000000D6">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Cadena de valor</w:t>
      </w:r>
    </w:p>
    <w:p w:rsidR="00000000" w:rsidDel="00000000" w:rsidP="00000000" w:rsidRDefault="00000000" w:rsidRPr="00000000" w14:paraId="000000D7">
      <w:pPr>
        <w:shd w:fill="f2f2f2" w:val="clear"/>
        <w:spacing w:after="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Publicación → Postulación → Selección → Acuerdo y cotización →</w:t>
      </w:r>
      <w:r w:rsidDel="00000000" w:rsidR="00000000" w:rsidRPr="00000000">
        <w:rPr>
          <w:rtl w:val="0"/>
        </w:rPr>
      </w:r>
    </w:p>
    <w:p w:rsidR="00000000" w:rsidDel="00000000" w:rsidP="00000000" w:rsidRDefault="00000000" w:rsidRPr="00000000" w14:paraId="000000D8">
      <w:pPr>
        <w:shd w:fill="f2f2f2" w:val="clear"/>
        <w:spacing w:after="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Solicitud y pago → Ejecución → Cierre o reclamo → Liquidación y reputación</w:t>
      </w:r>
      <w:r w:rsidDel="00000000" w:rsidR="00000000" w:rsidRPr="00000000">
        <w:rPr>
          <w:rtl w:val="0"/>
        </w:rPr>
      </w:r>
    </w:p>
    <w:p w:rsidR="00000000" w:rsidDel="00000000" w:rsidP="00000000" w:rsidRDefault="00000000" w:rsidRPr="00000000" w14:paraId="000000D9">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Reglas de negocio con implicación directa de diseño</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0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w:t>
            </w:r>
          </w:p>
        </w:tc>
        <w:tc>
          <w:tcPr>
            <w:shd w:fill="dce6f1" w:val="clear"/>
            <w:tcMar>
              <w:top w:w="60.0" w:type="dxa"/>
              <w:left w:w="100.0" w:type="dxa"/>
              <w:bottom w:w="60.0" w:type="dxa"/>
              <w:right w:w="100.0" w:type="dxa"/>
            </w:tcMar>
          </w:tcPr>
          <w:p w:rsidR="00000000" w:rsidDel="00000000" w:rsidP="00000000" w:rsidRDefault="00000000" w:rsidRPr="00000000" w14:paraId="000000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Implicación de diseño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RN-NEG-03 / RN-003</w:t>
            </w:r>
          </w:p>
        </w:tc>
        <w:tc>
          <w:tcPr>
            <w:tcMar>
              <w:top w:w="60.0" w:type="dxa"/>
              <w:left w:w="100.0" w:type="dxa"/>
              <w:bottom w:w="60.0" w:type="dxa"/>
              <w:right w:w="100.0" w:type="dxa"/>
            </w:tcMar>
          </w:tcPr>
          <w:p w:rsidR="00000000" w:rsidDel="00000000" w:rsidP="00000000" w:rsidRDefault="00000000" w:rsidRPr="00000000" w14:paraId="000000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contratación formal se vincula a un único prestador (técnico independiente </w:t>
            </w:r>
            <w:r w:rsidDel="00000000" w:rsidR="00000000" w:rsidRPr="00000000">
              <w:rPr>
                <w:rFonts w:ascii="Times New Roman" w:cs="Times New Roman" w:eastAsia="Times New Roman" w:hAnsi="Times New Roman"/>
                <w:b w:val="1"/>
                <w:bCs w:val="1"/>
                <w:rtl w:val="0"/>
              </w:rPr>
              <w:t xml:space="preserve">o</w:t>
            </w:r>
            <w:r w:rsidDel="00000000" w:rsidR="00000000" w:rsidRPr="00000000">
              <w:rPr>
                <w:rFonts w:ascii="Times New Roman" w:cs="Times New Roman" w:eastAsia="Times New Roman" w:hAnsi="Times New Roman"/>
                <w:rtl w:val="0"/>
              </w:rPr>
              <w:t xml:space="preserve"> empresa) — el modelo de datos de </w:t>
            </w:r>
            <w:r w:rsidDel="00000000" w:rsidR="00000000" w:rsidRPr="00000000">
              <w:rPr>
                <w:rFonts w:ascii="Times New Roman" w:cs="Times New Roman" w:eastAsia="Times New Roman" w:hAnsi="Times New Roman"/>
                <w:sz w:val="20"/>
                <w:szCs w:val="20"/>
                <w:shd w:fill="efefef" w:val="clear"/>
                <w:rtl w:val="0"/>
              </w:rPr>
              <w:t xml:space="preserve">SERVICIO</w:t>
            </w:r>
            <w:r w:rsidDel="00000000" w:rsidR="00000000" w:rsidRPr="00000000">
              <w:rPr>
                <w:rFonts w:ascii="Times New Roman" w:cs="Times New Roman" w:eastAsia="Times New Roman" w:hAnsi="Times New Roman"/>
                <w:rtl w:val="0"/>
              </w:rPr>
              <w:t xml:space="preserve"> necesita representar ambos casos sin duplicar la relación</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RN-NEG-04 / RN-016</w:t>
            </w:r>
          </w:p>
        </w:tc>
        <w:tc>
          <w:tcPr>
            <w:tcMar>
              <w:top w:w="60.0" w:type="dxa"/>
              <w:left w:w="100.0" w:type="dxa"/>
              <w:bottom w:w="60.0" w:type="dxa"/>
              <w:right w:w="100.0" w:type="dxa"/>
            </w:tcMar>
          </w:tcPr>
          <w:p w:rsidR="00000000" w:rsidDel="00000000" w:rsidP="00000000" w:rsidRDefault="00000000" w:rsidRPr="00000000" w14:paraId="000000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prestador es una empresa, debe asignar un técnico asociado antes de la ejecución — requiere distinguir *prestador contratado* de *técnico ejecutor* (brecha abierta, </w:t>
            </w:r>
            <w:hyperlink w:anchor="dnhy6i2iakbm">
              <w:r w:rsidDel="00000000" w:rsidR="00000000" w:rsidRPr="00000000">
                <w:rPr>
                  <w:rFonts w:ascii="Times New Roman" w:cs="Times New Roman" w:eastAsia="Times New Roman" w:hAnsi="Times New Roman"/>
                  <w:rtl w:val="0"/>
                </w:rPr>
                <w:t xml:space="preserve">§7.4</w:t>
              </w:r>
            </w:hyperlink>
            <w:r w:rsidDel="00000000" w:rsidR="00000000" w:rsidRPr="00000000">
              <w:rPr>
                <w:rFonts w:ascii="Times New Roman" w:cs="Times New Roman" w:eastAsia="Times New Roman" w:hAnsi="Times New Roman"/>
                <w:rtl w:val="0"/>
              </w:rPr>
              <w:t xml:space="preserv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RN-NEG-06 / RN-005</w:t>
            </w:r>
          </w:p>
        </w:tc>
        <w:tc>
          <w:tcPr>
            <w:tcMar>
              <w:top w:w="60.0" w:type="dxa"/>
              <w:left w:w="100.0" w:type="dxa"/>
              <w:bottom w:w="60.0" w:type="dxa"/>
              <w:right w:w="100.0" w:type="dxa"/>
            </w:tcMar>
          </w:tcPr>
          <w:p w:rsidR="00000000" w:rsidDel="00000000" w:rsidP="00000000" w:rsidRDefault="00000000" w:rsidRPr="00000000" w14:paraId="000000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servicio solo queda contratado tras confirmación del pago — acopla el estado de </w:t>
            </w:r>
            <w:r w:rsidDel="00000000" w:rsidR="00000000" w:rsidRPr="00000000">
              <w:rPr>
                <w:rFonts w:ascii="Times New Roman" w:cs="Times New Roman" w:eastAsia="Times New Roman" w:hAnsi="Times New Roman"/>
                <w:sz w:val="20"/>
                <w:szCs w:val="20"/>
                <w:shd w:fill="efefef" w:val="clear"/>
                <w:rtl w:val="0"/>
              </w:rPr>
              <w:t xml:space="preserve">SERVICIO</w:t>
            </w:r>
            <w:r w:rsidDel="00000000" w:rsidR="00000000" w:rsidRPr="00000000">
              <w:rPr>
                <w:rFonts w:ascii="Times New Roman" w:cs="Times New Roman" w:eastAsia="Times New Roman" w:hAnsi="Times New Roman"/>
                <w:rtl w:val="0"/>
              </w:rPr>
              <w:t xml:space="preserve"> al resultado asíncrono de </w:t>
            </w:r>
            <w:r w:rsidDel="00000000" w:rsidR="00000000" w:rsidRPr="00000000">
              <w:rPr>
                <w:rFonts w:ascii="Times New Roman" w:cs="Times New Roman" w:eastAsia="Times New Roman" w:hAnsi="Times New Roman"/>
                <w:sz w:val="20"/>
                <w:szCs w:val="20"/>
                <w:shd w:fill="efefef" w:val="clear"/>
                <w:rtl w:val="0"/>
              </w:rPr>
              <w:t xml:space="preserve">ms-pagos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RN-NEG-07 / RN-006</w:t>
            </w:r>
          </w:p>
        </w:tc>
        <w:tc>
          <w:tcPr>
            <w:tcMar>
              <w:top w:w="60.0" w:type="dxa"/>
              <w:left w:w="100.0" w:type="dxa"/>
              <w:bottom w:w="60.0" w:type="dxa"/>
              <w:right w:w="100.0" w:type="dxa"/>
            </w:tcMar>
          </w:tcPr>
          <w:p w:rsidR="00000000" w:rsidDel="00000000" w:rsidP="00000000" w:rsidRDefault="00000000" w:rsidRPr="00000000" w14:paraId="000000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Fondos retenidos o bloqueados no pueden retirarse — regla de negocio que debe aplicarse en </w:t>
            </w:r>
            <w:r w:rsidDel="00000000" w:rsidR="00000000" w:rsidRPr="00000000">
              <w:rPr>
                <w:rFonts w:ascii="Times New Roman" w:cs="Times New Roman" w:eastAsia="Times New Roman" w:hAnsi="Times New Roman"/>
                <w:sz w:val="20"/>
                <w:szCs w:val="20"/>
                <w:shd w:fill="efefef" w:val="clear"/>
                <w:rtl w:val="0"/>
              </w:rPr>
              <w:t xml:space="preserve">ms-pagos</w:t>
            </w:r>
            <w:r w:rsidDel="00000000" w:rsidR="00000000" w:rsidRPr="00000000">
              <w:rPr>
                <w:rFonts w:ascii="Times New Roman" w:cs="Times New Roman" w:eastAsia="Times New Roman" w:hAnsi="Times New Roman"/>
                <w:rtl w:val="0"/>
              </w:rPr>
              <w:t xml:space="preserve"> como invariante de dominio, no solo como validación de interfaz</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RN-NEG-08 / RN-009</w:t>
            </w:r>
          </w:p>
        </w:tc>
        <w:tc>
          <w:tcPr>
            <w:tcMar>
              <w:top w:w="60.0" w:type="dxa"/>
              <w:left w:w="100.0" w:type="dxa"/>
              <w:bottom w:w="60.0" w:type="dxa"/>
              <w:right w:w="100.0" w:type="dxa"/>
            </w:tcMar>
          </w:tcPr>
          <w:p w:rsidR="00000000" w:rsidDel="00000000" w:rsidP="00000000" w:rsidRDefault="00000000" w:rsidRPr="00000000" w14:paraId="000000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disputa bloquea los fondos hasta resolución registrada — requiere un estado explícito </w:t>
            </w:r>
            <w:r w:rsidDel="00000000" w:rsidR="00000000" w:rsidRPr="00000000">
              <w:rPr>
                <w:rFonts w:ascii="Times New Roman" w:cs="Times New Roman" w:eastAsia="Times New Roman" w:hAnsi="Times New Roman"/>
                <w:sz w:val="20"/>
                <w:szCs w:val="20"/>
                <w:shd w:fill="efefef" w:val="clear"/>
                <w:rtl w:val="0"/>
              </w:rPr>
              <w:t xml:space="preserve">BLOQUEADO</w:t>
            </w:r>
            <w:r w:rsidDel="00000000" w:rsidR="00000000" w:rsidRPr="00000000">
              <w:rPr>
                <w:rFonts w:ascii="Times New Roman" w:cs="Times New Roman" w:eastAsia="Times New Roman" w:hAnsi="Times New Roman"/>
                <w:rtl w:val="0"/>
              </w:rPr>
              <w:t xml:space="preserve"> en el modelo de </w:t>
            </w:r>
            <w:r w:rsidDel="00000000" w:rsidR="00000000" w:rsidRPr="00000000">
              <w:rPr>
                <w:rFonts w:ascii="Times New Roman" w:cs="Times New Roman" w:eastAsia="Times New Roman" w:hAnsi="Times New Roman"/>
                <w:sz w:val="20"/>
                <w:szCs w:val="20"/>
                <w:shd w:fill="efefef" w:val="clear"/>
                <w:rtl w:val="0"/>
              </w:rPr>
              <w:t xml:space="preserve">Payment</w:t>
            </w:r>
            <w:r w:rsidDel="00000000" w:rsidR="00000000" w:rsidRPr="00000000">
              <w:rPr>
                <w:rFonts w:ascii="Times New Roman" w:cs="Times New Roman" w:eastAsia="Times New Roman" w:hAnsi="Times New Roman"/>
                <w:rtl w:val="0"/>
              </w:rPr>
              <w:t xml:space="preserve">, distinto de </w:t>
            </w:r>
            <w:r w:rsidDel="00000000" w:rsidR="00000000" w:rsidRPr="00000000">
              <w:rPr>
                <w:rFonts w:ascii="Times New Roman" w:cs="Times New Roman" w:eastAsia="Times New Roman" w:hAnsi="Times New Roman"/>
                <w:sz w:val="20"/>
                <w:szCs w:val="20"/>
                <w:shd w:fill="efefef" w:val="clear"/>
                <w:rtl w:val="0"/>
              </w:rPr>
              <w:t xml:space="preserve">PENDIENTE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0"/>
                <w:szCs w:val="20"/>
                <w:shd w:fill="efefef" w:val="clear"/>
                <w:rtl w:val="0"/>
              </w:rPr>
              <w:t xml:space="preserve">CONFIRMADO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0"/>
                <w:szCs w:val="20"/>
                <w:shd w:fill="efefef" w:val="clear"/>
                <w:rtl w:val="0"/>
              </w:rPr>
              <w:t xml:space="preserve">FALLIDO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RN-NEG-10 / RD-05</w:t>
            </w:r>
          </w:p>
        </w:tc>
        <w:tc>
          <w:tcPr>
            <w:tcMar>
              <w:top w:w="60.0" w:type="dxa"/>
              <w:left w:w="100.0" w:type="dxa"/>
              <w:bottom w:w="60.0" w:type="dxa"/>
              <w:right w:w="100.0" w:type="dxa"/>
            </w:tcMar>
          </w:tcPr>
          <w:p w:rsidR="00000000" w:rsidDel="00000000" w:rsidP="00000000" w:rsidRDefault="00000000" w:rsidRPr="00000000" w14:paraId="000000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operaciones relevantes deben conservar trazabilidad — sostiene la necesidad de </w:t>
            </w:r>
            <w:r w:rsidDel="00000000" w:rsidR="00000000" w:rsidRPr="00000000">
              <w:rPr>
                <w:rFonts w:ascii="Times New Roman" w:cs="Times New Roman" w:eastAsia="Times New Roman" w:hAnsi="Times New Roman"/>
                <w:sz w:val="20"/>
                <w:szCs w:val="20"/>
                <w:shd w:fill="efefef" w:val="clear"/>
                <w:rtl w:val="0"/>
              </w:rPr>
              <w:t xml:space="preserve">HISTORIAL</w:t>
            </w:r>
            <w:r w:rsidDel="00000000" w:rsidR="00000000" w:rsidRPr="00000000">
              <w:rPr>
                <w:rFonts w:ascii="Times New Roman" w:cs="Times New Roman" w:eastAsia="Times New Roman" w:hAnsi="Times New Roman"/>
                <w:rtl w:val="0"/>
              </w:rPr>
              <w:t xml:space="preserve"> (PostgreSQL) y del data warehouse de </w:t>
            </w:r>
            <w:r w:rsidDel="00000000" w:rsidR="00000000" w:rsidRPr="00000000">
              <w:rPr>
                <w:rFonts w:ascii="Times New Roman" w:cs="Times New Roman" w:eastAsia="Times New Roman" w:hAnsi="Times New Roman"/>
                <w:sz w:val="20"/>
                <w:szCs w:val="20"/>
                <w:shd w:fill="efefef" w:val="clear"/>
                <w:rtl w:val="0"/>
              </w:rPr>
              <w:t xml:space="preserve">ms-ingesta-lakehouse</w:t>
            </w:r>
            <w:r w:rsidDel="00000000" w:rsidR="00000000" w:rsidRPr="00000000">
              <w:rPr>
                <w:rFonts w:ascii="Times New Roman" w:cs="Times New Roman" w:eastAsia="Times New Roman" w:hAnsi="Times New Roman"/>
                <w:rtl w:val="0"/>
              </w:rPr>
              <w:t xml:space="preserve"> como fuente para auditoría (CD-09)</w:t>
            </w:r>
          </w:p>
        </w:tc>
      </w:tr>
    </w:tbl>
    <w:p w:rsidR="00000000" w:rsidDel="00000000" w:rsidP="00000000" w:rsidRDefault="00000000" w:rsidRPr="00000000" w14:paraId="000000E9">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 Implicaciones transversales para la arquitectura (SAD V2 §9.8)</w:t>
      </w:r>
    </w:p>
    <w:p w:rsidR="00000000" w:rsidDel="00000000" w:rsidP="00000000" w:rsidRDefault="00000000" w:rsidRPr="00000000" w14:paraId="000000EB">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debe representar por separado al </w:t>
      </w:r>
      <w:r w:rsidDel="00000000" w:rsidR="00000000" w:rsidRPr="00000000">
        <w:rPr>
          <w:rFonts w:ascii="Times New Roman" w:cs="Times New Roman" w:eastAsia="Times New Roman" w:hAnsi="Times New Roman"/>
          <w:b w:val="1"/>
          <w:bCs w:val="1"/>
          <w:rtl w:val="0"/>
        </w:rPr>
        <w:t xml:space="preserve">prestador contratado</w:t>
      </w:r>
      <w:r w:rsidDel="00000000" w:rsidR="00000000" w:rsidRPr="00000000">
        <w:rPr>
          <w:rFonts w:ascii="Times New Roman" w:cs="Times New Roman" w:eastAsia="Times New Roman" w:hAnsi="Times New Roman"/>
          <w:rtl w:val="0"/>
        </w:rPr>
        <w:t xml:space="preserve"> y al </w:t>
      </w:r>
      <w:r w:rsidDel="00000000" w:rsidR="00000000" w:rsidRPr="00000000">
        <w:rPr>
          <w:rFonts w:ascii="Times New Roman" w:cs="Times New Roman" w:eastAsia="Times New Roman" w:hAnsi="Times New Roman"/>
          <w:b w:val="1"/>
          <w:bCs w:val="1"/>
          <w:rtl w:val="0"/>
        </w:rPr>
        <w:t xml:space="preserve">técnico que ejecuta el servicio</w:t>
      </w:r>
      <w:r w:rsidDel="00000000" w:rsidR="00000000" w:rsidRPr="00000000">
        <w:rPr>
          <w:rFonts w:ascii="Times New Roman" w:cs="Times New Roman" w:eastAsia="Times New Roman" w:hAnsi="Times New Roman"/>
          <w:rtl w:val="0"/>
        </w:rPr>
        <w:t xml:space="preserve"> (ruta empresarial), mantener máquinas de estados trazables para publicaciones, postulaciones, cotizaciones, servicios, pagos, retiros y disputas, y tratar los porcentajes de comisión, plazos de liberación, límites de retiro y tiempos de atención de disputas como </w:t>
      </w:r>
      <w:r w:rsidDel="00000000" w:rsidR="00000000" w:rsidRPr="00000000">
        <w:rPr>
          <w:rFonts w:ascii="Times New Roman" w:cs="Times New Roman" w:eastAsia="Times New Roman" w:hAnsi="Times New Roman"/>
          <w:b w:val="1"/>
          <w:bCs w:val="1"/>
          <w:rtl w:val="0"/>
        </w:rPr>
        <w:t xml:space="preserve">parámetros configurables</w:t>
      </w:r>
      <w:r w:rsidDel="00000000" w:rsidR="00000000" w:rsidRPr="00000000">
        <w:rPr>
          <w:rFonts w:ascii="Times New Roman" w:cs="Times New Roman" w:eastAsia="Times New Roman" w:hAnsi="Times New Roman"/>
          <w:rtl w:val="0"/>
        </w:rPr>
        <w:t xml:space="preserve">, nunca como constantes de código (RNF-019).</w:t>
      </w:r>
    </w:p>
    <w:p w:rsidR="00000000" w:rsidDel="00000000" w:rsidP="00000000" w:rsidRDefault="00000000" w:rsidRPr="00000000" w14:paraId="000000EC">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Modelo de Datos</w:t>
      </w:r>
    </w:p>
    <w:p w:rsidR="00000000" w:rsidDel="00000000" w:rsidP="00000000" w:rsidRDefault="00000000" w:rsidRPr="00000000" w14:paraId="000000EE">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Vista relacional (PostgreSQL)</w:t>
      </w:r>
    </w:p>
    <w:p w:rsidR="00000000" w:rsidDel="00000000" w:rsidP="00000000" w:rsidRDefault="00000000" w:rsidRPr="00000000" w14:paraId="000000E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componente relacional del DD V2 está compuesto por siete tablas en tres niveles: identidad (</w:t>
      </w:r>
      <w:r w:rsidDel="00000000" w:rsidR="00000000" w:rsidRPr="00000000">
        <w:rPr>
          <w:rFonts w:ascii="Times New Roman" w:cs="Times New Roman" w:eastAsia="Times New Roman" w:hAnsi="Times New Roman"/>
          <w:sz w:val="20"/>
          <w:szCs w:val="20"/>
          <w:shd w:fill="efefef" w:val="clear"/>
          <w:rtl w:val="0"/>
        </w:rPr>
        <w:t xml:space="preserve">USUARIO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CLIENTE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TECNICO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OPERACION</w:t>
      </w:r>
      <w:r w:rsidDel="00000000" w:rsidR="00000000" w:rsidRPr="00000000">
        <w:rPr>
          <w:rFonts w:ascii="Times New Roman" w:cs="Times New Roman" w:eastAsia="Times New Roman" w:hAnsi="Times New Roman"/>
          <w:rtl w:val="0"/>
        </w:rPr>
        <w:t xml:space="preserve">), catálogo declarativo (</w:t>
      </w:r>
      <w:r w:rsidDel="00000000" w:rsidR="00000000" w:rsidRPr="00000000">
        <w:rPr>
          <w:rFonts w:ascii="Times New Roman" w:cs="Times New Roman" w:eastAsia="Times New Roman" w:hAnsi="Times New Roman"/>
          <w:sz w:val="20"/>
          <w:szCs w:val="20"/>
          <w:shd w:fill="efefef" w:val="clear"/>
          <w:rtl w:val="0"/>
        </w:rPr>
        <w:t xml:space="preserve">CATEGORIA</w:t>
      </w:r>
      <w:r w:rsidDel="00000000" w:rsidR="00000000" w:rsidRPr="00000000">
        <w:rPr>
          <w:rFonts w:ascii="Times New Roman" w:cs="Times New Roman" w:eastAsia="Times New Roman" w:hAnsi="Times New Roman"/>
          <w:rtl w:val="0"/>
        </w:rPr>
        <w:t xml:space="preserve">, resuelto como </w:t>
      </w:r>
      <w:r w:rsidDel="00000000" w:rsidR="00000000" w:rsidRPr="00000000">
        <w:rPr>
          <w:rFonts w:ascii="Times New Roman" w:cs="Times New Roman" w:eastAsia="Times New Roman" w:hAnsi="Times New Roman"/>
          <w:sz w:val="20"/>
          <w:szCs w:val="20"/>
          <w:shd w:fill="efefef" w:val="clear"/>
          <w:rtl w:val="0"/>
        </w:rPr>
        <w:t xml:space="preserve">TECNICO_CATEGORIA</w:t>
      </w:r>
      <w:r w:rsidDel="00000000" w:rsidR="00000000" w:rsidRPr="00000000">
        <w:rPr>
          <w:rFonts w:ascii="Times New Roman" w:cs="Times New Roman" w:eastAsia="Times New Roman" w:hAnsi="Times New Roman"/>
          <w:rtl w:val="0"/>
        </w:rPr>
        <w:t xml:space="preserve">) y datos transaccionales (</w:t>
      </w:r>
      <w:r w:rsidDel="00000000" w:rsidR="00000000" w:rsidRPr="00000000">
        <w:rPr>
          <w:rFonts w:ascii="Times New Roman" w:cs="Times New Roman" w:eastAsia="Times New Roman" w:hAnsi="Times New Roman"/>
          <w:sz w:val="20"/>
          <w:szCs w:val="20"/>
          <w:shd w:fill="efefef" w:val="clear"/>
          <w:rtl w:val="0"/>
        </w:rPr>
        <w:t xml:space="preserve">SERVICIO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HISTORIAL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0">
      <w:pPr>
        <w:spacing w:after="24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38004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diagrama de referencia completo en </w:t>
      </w:r>
      <w:r w:rsidDel="00000000" w:rsidR="00000000" w:rsidRPr="00000000">
        <w:rPr>
          <w:rFonts w:ascii="Times New Roman" w:cs="Times New Roman" w:eastAsia="Times New Roman" w:hAnsi="Times New Roman"/>
          <w:sz w:val="20"/>
          <w:szCs w:val="20"/>
          <w:shd w:fill="efefef" w:val="clear"/>
          <w:rtl w:val="0"/>
        </w:rPr>
        <w:t xml:space="preserve">DD V2/Diagrama de Modelado de Datos.png</w:t>
      </w:r>
      <w:r w:rsidDel="00000000" w:rsidR="00000000" w:rsidRPr="00000000">
        <w:rPr>
          <w:rFonts w:ascii="Times New Roman" w:cs="Times New Roman" w:eastAsia="Times New Roman" w:hAnsi="Times New Roman"/>
          <w:rtl w:val="0"/>
        </w:rPr>
        <w:t xml:space="preserve">. Regla de integridad clave: un índice único parcial impide más de un servicio activo simultáneo por técnico.</w:t>
      </w:r>
    </w:p>
    <w:p w:rsidR="00000000" w:rsidDel="00000000" w:rsidP="00000000" w:rsidRDefault="00000000" w:rsidRPr="00000000" w14:paraId="000000F2">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Vista documental (MongoDB)</w:t>
      </w:r>
    </w:p>
    <w:p w:rsidR="00000000" w:rsidDel="00000000" w:rsidP="00000000" w:rsidRDefault="00000000" w:rsidRPr="00000000" w14:paraId="000000F3">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colecciones, aisladas por microservicio propietario, sin FK física hacia PostgreSQL — la trazabilidad se sostiene mediante UUID replicados y sincronizados de forma asíncrona (ver </w:t>
      </w:r>
      <w:hyperlink w:anchor="x6r1k0mf87pg">
        <w:r w:rsidDel="00000000" w:rsidR="00000000" w:rsidRPr="00000000">
          <w:rPr>
            <w:rFonts w:ascii="Times New Roman" w:cs="Times New Roman" w:eastAsia="Times New Roman" w:hAnsi="Times New Roman"/>
            <w:rtl w:val="0"/>
          </w:rPr>
          <w:t xml:space="preserve">§8</w:t>
        </w:r>
      </w:hyperlink>
      <w:r w:rsidDel="00000000" w:rsidR="00000000" w:rsidRPr="00000000">
        <w:rPr>
          <w:rFonts w:ascii="Times New Roman" w:cs="Times New Roman" w:eastAsia="Times New Roman" w:hAnsi="Times New Roman"/>
          <w:rtl w:val="0"/>
        </w:rPr>
        <w:t xml:space="preserve">):</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0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Colección</w:t>
            </w:r>
          </w:p>
        </w:tc>
        <w:tc>
          <w:tcPr>
            <w:shd w:fill="dce6f1" w:val="clear"/>
            <w:tcMar>
              <w:top w:w="60.0" w:type="dxa"/>
              <w:left w:w="100.0" w:type="dxa"/>
              <w:bottom w:w="60.0" w:type="dxa"/>
              <w:right w:w="100.0" w:type="dxa"/>
            </w:tcMar>
          </w:tcPr>
          <w:p w:rsidR="00000000" w:rsidDel="00000000" w:rsidP="00000000" w:rsidRDefault="00000000" w:rsidRPr="00000000" w14:paraId="000000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Propietario</w:t>
            </w:r>
          </w:p>
        </w:tc>
        <w:tc>
          <w:tcPr>
            <w:shd w:fill="dce6f1" w:val="clear"/>
            <w:tcMar>
              <w:top w:w="60.0" w:type="dxa"/>
              <w:left w:w="100.0" w:type="dxa"/>
              <w:bottom w:w="60.0" w:type="dxa"/>
              <w:right w:w="100.0" w:type="dxa"/>
            </w:tcMar>
          </w:tcPr>
          <w:p w:rsidR="00000000" w:rsidDel="00000000" w:rsidP="00000000" w:rsidRDefault="00000000" w:rsidRPr="00000000" w14:paraId="000000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Contenido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Descubridor (lógico)</w:t>
            </w:r>
          </w:p>
        </w:tc>
        <w:tc>
          <w:tcPr>
            <w:tcMar>
              <w:top w:w="60.0" w:type="dxa"/>
              <w:left w:w="100.0" w:type="dxa"/>
              <w:bottom w:w="60.0" w:type="dxa"/>
              <w:right w:w="100.0" w:type="dxa"/>
            </w:tcMar>
          </w:tcPr>
          <w:p w:rsidR="00000000" w:rsidDel="00000000" w:rsidP="00000000" w:rsidRDefault="00000000" w:rsidRPr="00000000" w14:paraId="000000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Publicación pública del servicio: descripción, ubicación aproximada, estado (</w:t>
            </w:r>
            <w:r w:rsidDel="00000000" w:rsidR="00000000" w:rsidRPr="00000000">
              <w:rPr>
                <w:rFonts w:ascii="Times New Roman" w:cs="Times New Roman" w:eastAsia="Times New Roman" w:hAnsi="Times New Roman"/>
                <w:sz w:val="20"/>
                <w:szCs w:val="20"/>
                <w:shd w:fill="efefef" w:val="clear"/>
                <w:rtl w:val="0"/>
              </w:rPr>
              <w:t xml:space="preserve">ABIERTO/ASIGNADO/CERRADO</w:t>
            </w:r>
            <w:r w:rsidDel="00000000" w:rsidR="00000000" w:rsidRPr="00000000">
              <w:rPr>
                <w:rFonts w:ascii="Times New Roman" w:cs="Times New Roman" w:eastAsia="Times New Roman" w:hAnsi="Times New Roman"/>
                <w:rtl w:val="0"/>
              </w:rPr>
              <w:t xml:space="preserve">), calificaciones embebidas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Payment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Servicios/Pagos (lógico)</w:t>
            </w:r>
          </w:p>
        </w:tc>
        <w:tc>
          <w:tcPr>
            <w:tcMar>
              <w:top w:w="60.0" w:type="dxa"/>
              <w:left w:w="100.0" w:type="dxa"/>
              <w:bottom w:w="60.0" w:type="dxa"/>
              <w:right w:w="100.0" w:type="dxa"/>
            </w:tcMar>
          </w:tcPr>
          <w:p w:rsidR="00000000" w:rsidDel="00000000" w:rsidP="00000000" w:rsidRDefault="00000000" w:rsidRPr="00000000" w14:paraId="000000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Ciclo de vida del pago: </w:t>
            </w:r>
            <w:r w:rsidDel="00000000" w:rsidR="00000000" w:rsidRPr="00000000">
              <w:rPr>
                <w:rFonts w:ascii="Times New Roman" w:cs="Times New Roman" w:eastAsia="Times New Roman" w:hAnsi="Times New Roman"/>
                <w:sz w:val="20"/>
                <w:szCs w:val="20"/>
                <w:shd w:fill="efefef" w:val="clear"/>
                <w:rtl w:val="0"/>
              </w:rPr>
              <w:t xml:space="preserve">precio_acordado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estado_pago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idempotency_key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billetera {saldo_retenido, saldo_disponible}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movimientos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disputa</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F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Verification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(lógico)</w:t>
            </w:r>
          </w:p>
        </w:tc>
        <w:tc>
          <w:tcPr>
            <w:tcMar>
              <w:top w:w="60.0" w:type="dxa"/>
              <w:left w:w="100.0" w:type="dxa"/>
              <w:bottom w:w="60.0" w:type="dxa"/>
              <w:right w:w="100.0" w:type="dxa"/>
            </w:tcMar>
          </w:tcPr>
          <w:p w:rsidR="00000000" w:rsidDel="00000000" w:rsidP="00000000" w:rsidRDefault="00000000" w:rsidRPr="00000000" w14:paraId="000000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verificación de identidad, documento cifrado, auditoría</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Messages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Mensajería (lógico)</w:t>
            </w:r>
          </w:p>
        </w:tc>
        <w:tc>
          <w:tcPr>
            <w:tcMar>
              <w:top w:w="60.0" w:type="dxa"/>
              <w:left w:w="100.0" w:type="dxa"/>
              <w:bottom w:w="60.0" w:type="dxa"/>
              <w:right w:w="100.0" w:type="dxa"/>
            </w:tcMar>
          </w:tcPr>
          <w:p w:rsidR="00000000" w:rsidDel="00000000" w:rsidP="00000000" w:rsidRDefault="00000000" w:rsidRPr="00000000" w14:paraId="000001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Contenido del chat, cifrado en tránsito, habilitado tras contacto</w:t>
            </w:r>
          </w:p>
        </w:tc>
      </w:tr>
    </w:tbl>
    <w:p w:rsidR="00000000" w:rsidDel="00000000" w:rsidP="00000000" w:rsidRDefault="00000000" w:rsidRPr="00000000" w14:paraId="0000010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Contratos de datos (CD-01 a CD-09)</w:t>
      </w:r>
    </w:p>
    <w:p w:rsidR="00000000" w:rsidDel="00000000" w:rsidP="00000000" w:rsidRDefault="00000000" w:rsidRPr="00000000" w14:paraId="00000105">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DD V2 formaliza nueve contratos de datos que cubren las catorce entidades del modelo lógico, cada uno con nivel de sensibilidad, acuerdo de nivel de servicio y responsable asignado. Se resumen aquí; la ficha completa de cada uno (disponibilidad, frescura, tiempo de conciliación, retención) vive en el DD V2 §3.6.</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1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dce6f1" w:val="clear"/>
            <w:tcMar>
              <w:top w:w="60.0" w:type="dxa"/>
              <w:left w:w="100.0" w:type="dxa"/>
              <w:bottom w:w="60.0" w:type="dxa"/>
              <w:right w:w="100.0" w:type="dxa"/>
            </w:tcMar>
          </w:tcPr>
          <w:p w:rsidR="00000000" w:rsidDel="00000000" w:rsidP="00000000" w:rsidRDefault="00000000" w:rsidRPr="00000000" w14:paraId="000001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w:t>
            </w:r>
          </w:p>
        </w:tc>
        <w:tc>
          <w:tcPr>
            <w:shd w:fill="dce6f1" w:val="clear"/>
            <w:tcMar>
              <w:top w:w="60.0" w:type="dxa"/>
              <w:left w:w="100.0" w:type="dxa"/>
              <w:bottom w:w="60.0" w:type="dxa"/>
              <w:right w:w="100.0" w:type="dxa"/>
            </w:tcMar>
          </w:tcPr>
          <w:p w:rsidR="00000000" w:rsidDel="00000000" w:rsidP="00000000" w:rsidRDefault="00000000" w:rsidRPr="00000000" w14:paraId="000001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Microservicio(s)</w:t>
            </w:r>
          </w:p>
        </w:tc>
        <w:tc>
          <w:tcPr>
            <w:shd w:fill="dce6f1" w:val="clear"/>
            <w:tcMar>
              <w:top w:w="60.0" w:type="dxa"/>
              <w:left w:w="100.0" w:type="dxa"/>
              <w:bottom w:w="60.0" w:type="dxa"/>
              <w:right w:w="100.0" w:type="dxa"/>
            </w:tcMar>
          </w:tcPr>
          <w:p w:rsidR="00000000" w:rsidDel="00000000" w:rsidP="00000000" w:rsidRDefault="00000000" w:rsidRPr="00000000" w14:paraId="000001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CD-01</w:t>
            </w:r>
          </w:p>
        </w:tc>
        <w:tc>
          <w:tcPr>
            <w:tcMar>
              <w:top w:w="60.0" w:type="dxa"/>
              <w:left w:w="100.0" w:type="dxa"/>
              <w:bottom w:w="60.0" w:type="dxa"/>
              <w:right w:w="100.0" w:type="dxa"/>
            </w:tcMar>
          </w:tcPr>
          <w:p w:rsidR="00000000" w:rsidDel="00000000" w:rsidP="00000000" w:rsidRDefault="00000000" w:rsidRPr="00000000" w14:paraId="000001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Identidad, roles y perfil de cliente</w:t>
            </w:r>
          </w:p>
        </w:tc>
        <w:tc>
          <w:tcPr>
            <w:tcMar>
              <w:top w:w="60.0" w:type="dxa"/>
              <w:left w:w="100.0" w:type="dxa"/>
              <w:bottom w:w="60.0" w:type="dxa"/>
              <w:right w:w="100.0" w:type="dxa"/>
            </w:tcMar>
          </w:tcPr>
          <w:p w:rsidR="00000000" w:rsidDel="00000000" w:rsidP="00000000" w:rsidRDefault="00000000" w:rsidRPr="00000000" w14:paraId="000001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ms-usuarios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CD-02</w:t>
            </w:r>
          </w:p>
        </w:tc>
        <w:tc>
          <w:tcPr>
            <w:tcMar>
              <w:top w:w="60.0" w:type="dxa"/>
              <w:left w:w="100.0" w:type="dxa"/>
              <w:bottom w:w="60.0" w:type="dxa"/>
              <w:right w:w="100.0" w:type="dxa"/>
            </w:tcMar>
          </w:tcPr>
          <w:p w:rsidR="00000000" w:rsidDel="00000000" w:rsidP="00000000" w:rsidRDefault="00000000" w:rsidRPr="00000000" w14:paraId="000001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 y verificación del técnico</w:t>
            </w:r>
          </w:p>
        </w:tc>
        <w:tc>
          <w:tcPr>
            <w:tcMar>
              <w:top w:w="60.0" w:type="dxa"/>
              <w:left w:w="100.0" w:type="dxa"/>
              <w:bottom w:w="60.0" w:type="dxa"/>
              <w:right w:w="100.0" w:type="dxa"/>
            </w:tcMar>
          </w:tcPr>
          <w:p w:rsidR="00000000" w:rsidDel="00000000" w:rsidP="00000000" w:rsidRDefault="00000000" w:rsidRPr="00000000" w14:paraId="000001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ms-tecnicos</w:t>
            </w:r>
            <w:r w:rsidDel="00000000" w:rsidR="00000000" w:rsidRPr="00000000">
              <w:rPr>
                <w:rFonts w:ascii="Times New Roman" w:cs="Times New Roman" w:eastAsia="Times New Roman" w:hAnsi="Times New Roman"/>
                <w:rtl w:val="0"/>
              </w:rPr>
              <w:t xml:space="preserve"> (perfil base) + Verificación (estado)</w:t>
            </w:r>
          </w:p>
        </w:tc>
        <w:tc>
          <w:tcPr>
            <w:tcMar>
              <w:top w:w="60.0" w:type="dxa"/>
              <w:left w:w="100.0" w:type="dxa"/>
              <w:bottom w:w="60.0" w:type="dxa"/>
              <w:right w:w="100.0" w:type="dxa"/>
            </w:tcMar>
          </w:tcPr>
          <w:p w:rsidR="00000000" w:rsidDel="00000000" w:rsidP="00000000" w:rsidRDefault="00000000" w:rsidRPr="00000000" w14:paraId="000001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 MongoDB</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CD-03</w:t>
            </w:r>
          </w:p>
        </w:tc>
        <w:tc>
          <w:tcPr>
            <w:tcMar>
              <w:top w:w="60.0" w:type="dxa"/>
              <w:left w:w="100.0" w:type="dxa"/>
              <w:bottom w:w="60.0" w:type="dxa"/>
              <w:right w:w="100.0" w:type="dxa"/>
            </w:tcMar>
          </w:tcPr>
          <w:p w:rsidR="00000000" w:rsidDel="00000000" w:rsidP="00000000" w:rsidRDefault="00000000" w:rsidRPr="00000000" w14:paraId="000001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Catálogo y publicaciones</w:t>
            </w:r>
          </w:p>
        </w:tc>
        <w:tc>
          <w:tcPr>
            <w:tcMar>
              <w:top w:w="60.0" w:type="dxa"/>
              <w:left w:w="100.0" w:type="dxa"/>
              <w:bottom w:w="60.0" w:type="dxa"/>
              <w:right w:w="100.0" w:type="dxa"/>
            </w:tcMar>
          </w:tcPr>
          <w:p w:rsidR="00000000" w:rsidDel="00000000" w:rsidP="00000000" w:rsidRDefault="00000000" w:rsidRPr="00000000" w14:paraId="000001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Fonts w:ascii="Times New Roman" w:cs="Times New Roman" w:eastAsia="Times New Roman" w:hAnsi="Times New Roman"/>
                <w:rtl w:val="0"/>
              </w:rPr>
              <w:t xml:space="preserve"> (ancla relacional) + Descubridor (contenido mutable)</w:t>
            </w:r>
          </w:p>
        </w:tc>
        <w:tc>
          <w:tcPr>
            <w:tcMar>
              <w:top w:w="60.0" w:type="dxa"/>
              <w:left w:w="100.0" w:type="dxa"/>
              <w:bottom w:w="60.0" w:type="dxa"/>
              <w:right w:w="100.0" w:type="dxa"/>
            </w:tcMar>
          </w:tcPr>
          <w:p w:rsidR="00000000" w:rsidDel="00000000" w:rsidP="00000000" w:rsidRDefault="00000000" w:rsidRPr="00000000" w14:paraId="000001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 MongoDB</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CD-04</w:t>
            </w:r>
          </w:p>
        </w:tc>
        <w:tc>
          <w:tcPr>
            <w:tcMar>
              <w:top w:w="60.0" w:type="dxa"/>
              <w:left w:w="100.0" w:type="dxa"/>
              <w:bottom w:w="60.0" w:type="dxa"/>
              <w:right w:w="100.0" w:type="dxa"/>
            </w:tcMar>
          </w:tcPr>
          <w:p w:rsidR="00000000" w:rsidDel="00000000" w:rsidP="00000000" w:rsidRDefault="00000000" w:rsidRPr="00000000" w14:paraId="000001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Postulación y selección</w:t>
            </w:r>
          </w:p>
        </w:tc>
        <w:tc>
          <w:tcPr>
            <w:tcMar>
              <w:top w:w="60.0" w:type="dxa"/>
              <w:left w:w="100.0" w:type="dxa"/>
              <w:bottom w:w="60.0" w:type="dxa"/>
              <w:right w:w="100.0" w:type="dxa"/>
            </w:tcMar>
          </w:tcPr>
          <w:p w:rsidR="00000000" w:rsidDel="00000000" w:rsidP="00000000" w:rsidRDefault="00000000" w:rsidRPr="00000000" w14:paraId="000001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CD-05</w:t>
            </w:r>
          </w:p>
        </w:tc>
        <w:tc>
          <w:tcPr>
            <w:tcMar>
              <w:top w:w="60.0" w:type="dxa"/>
              <w:left w:w="100.0" w:type="dxa"/>
              <w:bottom w:w="60.0" w:type="dxa"/>
              <w:right w:w="100.0" w:type="dxa"/>
            </w:tcMar>
          </w:tcPr>
          <w:p w:rsidR="00000000" w:rsidDel="00000000" w:rsidP="00000000" w:rsidRDefault="00000000" w:rsidRPr="00000000" w14:paraId="000001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w:t>
            </w:r>
          </w:p>
        </w:tc>
        <w:tc>
          <w:tcPr>
            <w:tcMar>
              <w:top w:w="60.0" w:type="dxa"/>
              <w:left w:w="100.0" w:type="dxa"/>
              <w:bottom w:w="60.0" w:type="dxa"/>
              <w:right w:w="100.0" w:type="dxa"/>
            </w:tcMar>
          </w:tcPr>
          <w:p w:rsidR="00000000" w:rsidDel="00000000" w:rsidP="00000000" w:rsidRDefault="00000000" w:rsidRPr="00000000" w14:paraId="000001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ms-comunicacion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CD-06</w:t>
            </w:r>
          </w:p>
        </w:tc>
        <w:tc>
          <w:tcPr>
            <w:tcMar>
              <w:top w:w="60.0" w:type="dxa"/>
              <w:left w:w="100.0" w:type="dxa"/>
              <w:bottom w:w="60.0" w:type="dxa"/>
              <w:right w:w="100.0" w:type="dxa"/>
            </w:tcMar>
          </w:tcPr>
          <w:p w:rsidR="00000000" w:rsidDel="00000000" w:rsidP="00000000" w:rsidRDefault="00000000" w:rsidRPr="00000000" w14:paraId="0000011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Contratación y cotización</w:t>
            </w:r>
          </w:p>
        </w:tc>
        <w:tc>
          <w:tcPr>
            <w:tcMar>
              <w:top w:w="60.0" w:type="dxa"/>
              <w:left w:w="100.0" w:type="dxa"/>
              <w:bottom w:w="60.0" w:type="dxa"/>
              <w:right w:w="100.0" w:type="dxa"/>
            </w:tcMar>
          </w:tcPr>
          <w:p w:rsidR="00000000" w:rsidDel="00000000" w:rsidP="00000000" w:rsidRDefault="00000000" w:rsidRPr="00000000" w14:paraId="0000012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CD-07</w:t>
            </w:r>
          </w:p>
        </w:tc>
        <w:tc>
          <w:tcPr>
            <w:tcMar>
              <w:top w:w="60.0" w:type="dxa"/>
              <w:left w:w="100.0" w:type="dxa"/>
              <w:bottom w:w="60.0" w:type="dxa"/>
              <w:right w:w="100.0" w:type="dxa"/>
            </w:tcMar>
          </w:tcPr>
          <w:p w:rsidR="00000000" w:rsidDel="00000000" w:rsidP="00000000" w:rsidRDefault="00000000" w:rsidRPr="00000000" w14:paraId="0000012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Finanzas y billetera</w:t>
            </w:r>
          </w:p>
        </w:tc>
        <w:tc>
          <w:tcPr>
            <w:tcMar>
              <w:top w:w="60.0" w:type="dxa"/>
              <w:left w:w="100.0" w:type="dxa"/>
              <w:bottom w:w="60.0" w:type="dxa"/>
              <w:right w:w="100.0" w:type="dxa"/>
            </w:tcMar>
          </w:tcPr>
          <w:p w:rsidR="00000000" w:rsidDel="00000000" w:rsidP="00000000" w:rsidRDefault="00000000" w:rsidRPr="00000000" w14:paraId="0000012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ms-pagos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 MongoDB</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CD-08</w:t>
            </w:r>
          </w:p>
        </w:tc>
        <w:tc>
          <w:tcPr>
            <w:tcMar>
              <w:top w:w="60.0" w:type="dxa"/>
              <w:left w:w="100.0" w:type="dxa"/>
              <w:bottom w:w="60.0" w:type="dxa"/>
              <w:right w:w="100.0" w:type="dxa"/>
            </w:tcMar>
          </w:tcPr>
          <w:p w:rsidR="00000000" w:rsidDel="00000000" w:rsidP="00000000" w:rsidRDefault="00000000" w:rsidRPr="00000000" w14:paraId="0000012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Reputación</w:t>
            </w:r>
          </w:p>
        </w:tc>
        <w:tc>
          <w:tcPr>
            <w:tcMar>
              <w:top w:w="60.0" w:type="dxa"/>
              <w:left w:w="100.0" w:type="dxa"/>
              <w:bottom w:w="60.0" w:type="dxa"/>
              <w:right w:w="100.0" w:type="dxa"/>
            </w:tcMar>
          </w:tcPr>
          <w:p w:rsidR="00000000" w:rsidDel="00000000" w:rsidP="00000000" w:rsidRDefault="00000000" w:rsidRPr="00000000" w14:paraId="000001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Calificaciones (lógico, custodio físico Descubridor)</w:t>
            </w:r>
          </w:p>
        </w:tc>
        <w:tc>
          <w:tcPr>
            <w:tcMar>
              <w:top w:w="60.0" w:type="dxa"/>
              <w:left w:w="100.0" w:type="dxa"/>
              <w:bottom w:w="60.0" w:type="dxa"/>
              <w:right w:w="100.0" w:type="dxa"/>
            </w:tcMar>
          </w:tcPr>
          <w:p w:rsidR="00000000" w:rsidDel="00000000" w:rsidP="00000000" w:rsidRDefault="00000000" w:rsidRPr="00000000" w14:paraId="0000012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(embebido en </w:t>
            </w:r>
            <w:r w:rsidDel="00000000" w:rsidR="00000000" w:rsidRPr="00000000">
              <w:rPr>
                <w:rFonts w:ascii="Times New Roman" w:cs="Times New Roman" w:eastAsia="Times New Roman" w:hAnsi="Times New Roman"/>
                <w:sz w:val="20"/>
                <w:szCs w:val="20"/>
                <w:shd w:fill="efefef" w:val="clear"/>
                <w:rtl w:val="0"/>
              </w:rPr>
              <w:t xml:space="preserve">Post</w:t>
            </w:r>
            <w:r w:rsidDel="00000000" w:rsidR="00000000" w:rsidRPr="00000000">
              <w:rPr>
                <w:rFonts w:ascii="Times New Roman" w:cs="Times New Roman" w:eastAsia="Times New Roman" w:hAnsi="Times New Roman"/>
                <w:rtl w:val="0"/>
              </w:rPr>
              <w:t xml:space="preserv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CD-09</w:t>
            </w:r>
          </w:p>
        </w:tc>
        <w:tc>
          <w:tcPr>
            <w:tcMar>
              <w:top w:w="60.0" w:type="dxa"/>
              <w:left w:w="100.0" w:type="dxa"/>
              <w:bottom w:w="60.0" w:type="dxa"/>
              <w:right w:w="100.0" w:type="dxa"/>
            </w:tcMar>
          </w:tcPr>
          <w:p w:rsidR="00000000" w:rsidDel="00000000" w:rsidP="00000000" w:rsidRDefault="00000000" w:rsidRPr="00000000" w14:paraId="0000012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Auditoría</w:t>
            </w:r>
          </w:p>
        </w:tc>
        <w:tc>
          <w:tcPr>
            <w:tcMar>
              <w:top w:w="60.0" w:type="dxa"/>
              <w:left w:w="100.0" w:type="dxa"/>
              <w:bottom w:w="60.0" w:type="dxa"/>
              <w:right w:w="100.0" w:type="dxa"/>
            </w:tcMar>
          </w:tcPr>
          <w:p w:rsidR="00000000" w:rsidDel="00000000" w:rsidP="00000000" w:rsidRDefault="00000000" w:rsidRPr="00000000" w14:paraId="000001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ms-ingesta-lakehouse</w:t>
            </w:r>
            <w:r w:rsidDel="00000000" w:rsidR="00000000" w:rsidRPr="00000000">
              <w:rPr>
                <w:rFonts w:ascii="Times New Roman" w:cs="Times New Roman" w:eastAsia="Times New Roman" w:hAnsi="Times New Roman"/>
                <w:rtl w:val="0"/>
              </w:rPr>
              <w:t xml:space="preserve"> (solo lectura sobre el data warehouse)</w:t>
            </w:r>
          </w:p>
        </w:tc>
        <w:tc>
          <w:tcPr>
            <w:tcMar>
              <w:top w:w="60.0" w:type="dxa"/>
              <w:left w:w="100.0" w:type="dxa"/>
              <w:bottom w:w="60.0" w:type="dxa"/>
              <w:right w:w="100.0" w:type="dxa"/>
            </w:tcMar>
          </w:tcPr>
          <w:p w:rsidR="00000000" w:rsidDel="00000000" w:rsidP="00000000" w:rsidRDefault="00000000" w:rsidRPr="00000000" w14:paraId="000001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propio</w:t>
            </w:r>
          </w:p>
        </w:tc>
      </w:tr>
    </w:tbl>
    <w:p w:rsidR="00000000" w:rsidDel="00000000" w:rsidP="00000000" w:rsidRDefault="00000000" w:rsidRPr="00000000" w14:paraId="0000012E">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Niveles de sensibilidad: </w:t>
      </w:r>
      <w:r w:rsidDel="00000000" w:rsidR="00000000" w:rsidRPr="00000000">
        <w:rPr>
          <w:rFonts w:ascii="Times New Roman" w:cs="Times New Roman" w:eastAsia="Times New Roman" w:hAnsi="Times New Roman"/>
          <w:b w:val="1"/>
          <w:bCs w:val="1"/>
          <w:rtl w:val="0"/>
        </w:rPr>
        <w:t xml:space="preserve">Público</w:t>
      </w:r>
      <w:r w:rsidDel="00000000" w:rsidR="00000000" w:rsidRPr="00000000">
        <w:rPr>
          <w:rFonts w:ascii="Times New Roman" w:cs="Times New Roman" w:eastAsia="Times New Roman" w:hAnsi="Times New Roman"/>
          <w:rtl w:val="0"/>
        </w:rPr>
        <w:t xml:space="preserve"> (sin cifrado, ej. calificaciones, categoría), </w:t>
      </w:r>
      <w:r w:rsidDel="00000000" w:rsidR="00000000" w:rsidRPr="00000000">
        <w:rPr>
          <w:rFonts w:ascii="Times New Roman" w:cs="Times New Roman" w:eastAsia="Times New Roman" w:hAnsi="Times New Roman"/>
          <w:b w:val="1"/>
          <w:bCs w:val="1"/>
          <w:rtl w:val="0"/>
        </w:rPr>
        <w:t xml:space="preserve">Restringido/PII</w:t>
      </w:r>
      <w:r w:rsidDel="00000000" w:rsidR="00000000" w:rsidRPr="00000000">
        <w:rPr>
          <w:rFonts w:ascii="Times New Roman" w:cs="Times New Roman" w:eastAsia="Times New Roman" w:hAnsi="Times New Roman"/>
          <w:rtl w:val="0"/>
        </w:rPr>
        <w:t xml:space="preserve"> (cifrado en tránsito y en reposo, visible solo a las partes de una orden activa) y </w:t>
      </w:r>
      <w:r w:rsidDel="00000000" w:rsidR="00000000" w:rsidRPr="00000000">
        <w:rPr>
          <w:rFonts w:ascii="Times New Roman" w:cs="Times New Roman" w:eastAsia="Times New Roman" w:hAnsi="Times New Roman"/>
          <w:b w:val="1"/>
          <w:bCs w:val="1"/>
          <w:rtl w:val="0"/>
        </w:rPr>
        <w:t xml:space="preserve">Altamente confidencial</w:t>
      </w:r>
      <w:r w:rsidDel="00000000" w:rsidR="00000000" w:rsidRPr="00000000">
        <w:rPr>
          <w:rFonts w:ascii="Times New Roman" w:cs="Times New Roman" w:eastAsia="Times New Roman" w:hAnsi="Times New Roman"/>
          <w:rtl w:val="0"/>
        </w:rPr>
        <w:t xml:space="preserve"> (cifrado a nivel de columna/documento con AES-256, llaves en Vault, nunca retornado en endpoints REST convencionales: documento de identidad, hash de credenciales, tokens de pago, evidencia financiera).</w:t>
      </w:r>
    </w:p>
    <w:p w:rsidR="00000000" w:rsidDel="00000000" w:rsidP="00000000" w:rsidRDefault="00000000" w:rsidRPr="00000000" w14:paraId="00000130">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Arquitectura de Datos e Integración</w:t>
      </w:r>
    </w:p>
    <w:p w:rsidR="00000000" w:rsidDel="00000000" w:rsidP="00000000" w:rsidRDefault="00000000" w:rsidRPr="00000000" w14:paraId="00000132">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Mapeo microservicio–dato</w:t>
      </w:r>
    </w:p>
    <w:p w:rsidR="00000000" w:rsidDel="00000000" w:rsidP="00000000" w:rsidRDefault="00000000" w:rsidRPr="00000000" w14:paraId="00000133">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resume la propiedad (ownership) de escritura sobre cada estructura de datos, consolidando el DD V2, el SAD V2 §x.1 y la Arquitectura de Datos V2 §1.1 (que usan nombres de dominio lógico, no necesariamente 1:1 con los siete microservicios físicos del </w:t>
      </w:r>
      <w:hyperlink w:anchor="du7woeauty58">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 xml:space="preserve"> — ver nota de reconciliación pendiente en </w:t>
      </w:r>
      <w:hyperlink w:anchor="1wq9tq42alww">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 xml:space="preserve">).</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13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 lógico</w:t>
            </w:r>
          </w:p>
        </w:tc>
        <w:tc>
          <w:tcPr>
            <w:shd w:fill="dce6f1" w:val="clear"/>
            <w:tcMar>
              <w:top w:w="60.0" w:type="dxa"/>
              <w:left w:w="100.0" w:type="dxa"/>
              <w:bottom w:w="60.0" w:type="dxa"/>
              <w:right w:w="100.0" w:type="dxa"/>
            </w:tcMar>
          </w:tcPr>
          <w:p w:rsidR="00000000" w:rsidDel="00000000" w:rsidP="00000000" w:rsidRDefault="00000000" w:rsidRPr="00000000" w14:paraId="000001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Escribe (dueño)</w:t>
            </w:r>
          </w:p>
        </w:tc>
        <w:tc>
          <w:tcPr>
            <w:shd w:fill="dce6f1" w:val="clear"/>
            <w:tcMar>
              <w:top w:w="60.0" w:type="dxa"/>
              <w:left w:w="100.0" w:type="dxa"/>
              <w:bottom w:w="60.0" w:type="dxa"/>
              <w:right w:w="100.0" w:type="dxa"/>
            </w:tcMar>
          </w:tcPr>
          <w:p w:rsidR="00000000" w:rsidDel="00000000" w:rsidP="00000000" w:rsidRDefault="00000000" w:rsidRPr="00000000" w14:paraId="000001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 (eventos de entrada)</w:t>
            </w:r>
          </w:p>
        </w:tc>
        <w:tc>
          <w:tcPr>
            <w:shd w:fill="dce6f1" w:val="clear"/>
            <w:tcMar>
              <w:top w:w="60.0" w:type="dxa"/>
              <w:left w:w="100.0" w:type="dxa"/>
              <w:bottom w:w="60.0" w:type="dxa"/>
              <w:right w:w="100.0" w:type="dxa"/>
            </w:tcMar>
          </w:tcPr>
          <w:p w:rsidR="00000000" w:rsidDel="00000000" w:rsidP="00000000" w:rsidRDefault="00000000" w:rsidRPr="00000000" w14:paraId="000001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Efecto derivado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w:t>
            </w:r>
          </w:p>
        </w:tc>
        <w:tc>
          <w:tcPr>
            <w:tcMar>
              <w:top w:w="60.0" w:type="dxa"/>
              <w:left w:w="100.0" w:type="dxa"/>
              <w:bottom w:w="60.0" w:type="dxa"/>
              <w:right w:w="100.0" w:type="dxa"/>
            </w:tcMar>
          </w:tcPr>
          <w:p w:rsidR="00000000" w:rsidDel="00000000" w:rsidP="00000000" w:rsidRDefault="00000000" w:rsidRPr="00000000" w14:paraId="000001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USUARIO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CLIENTE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TECNICO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CATEGORIA</w:t>
            </w:r>
            <w:r w:rsidDel="00000000" w:rsidR="00000000" w:rsidRPr="00000000">
              <w:rPr>
                <w:rFonts w:ascii="Times New Roman" w:cs="Times New Roman" w:eastAsia="Times New Roman" w:hAnsi="Times New Roman"/>
                <w:rtl w:val="0"/>
              </w:rPr>
              <w:t xml:space="preserve"> (PostgreSQL)</w:t>
            </w:r>
          </w:p>
        </w:tc>
        <w:tc>
          <w:tcPr>
            <w:tcMar>
              <w:top w:w="60.0" w:type="dxa"/>
              <w:left w:w="100.0" w:type="dxa"/>
              <w:bottom w:w="60.0" w:type="dxa"/>
              <w:right w:w="100.0" w:type="dxa"/>
            </w:tcMar>
          </w:tcPr>
          <w:p w:rsidR="00000000" w:rsidDel="00000000" w:rsidP="00000000" w:rsidRDefault="00000000" w:rsidRPr="00000000" w14:paraId="0000013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verificacion.completada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calificacion.actualizada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w:t>
            </w:r>
          </w:p>
        </w:tc>
        <w:tc>
          <w:tcPr>
            <w:tcMar>
              <w:top w:w="60.0" w:type="dxa"/>
              <w:left w:w="100.0" w:type="dxa"/>
              <w:bottom w:w="60.0" w:type="dxa"/>
              <w:right w:w="100.0" w:type="dxa"/>
            </w:tcMar>
          </w:tcPr>
          <w:p w:rsidR="00000000" w:rsidDel="00000000" w:rsidP="00000000" w:rsidRDefault="00000000" w:rsidRPr="00000000" w14:paraId="000001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Colección </w:t>
            </w:r>
            <w:r w:rsidDel="00000000" w:rsidR="00000000" w:rsidRPr="00000000">
              <w:rPr>
                <w:rFonts w:ascii="Times New Roman" w:cs="Times New Roman" w:eastAsia="Times New Roman" w:hAnsi="Times New Roman"/>
                <w:sz w:val="20"/>
                <w:szCs w:val="20"/>
                <w:shd w:fill="efefef" w:val="clear"/>
                <w:rtl w:val="0"/>
              </w:rPr>
              <w:t xml:space="preserve">Verification</w:t>
            </w:r>
            <w:r w:rsidDel="00000000" w:rsidR="00000000" w:rsidRPr="00000000">
              <w:rPr>
                <w:rFonts w:ascii="Times New Roman" w:cs="Times New Roman" w:eastAsia="Times New Roman" w:hAnsi="Times New Roman"/>
                <w:rtl w:val="0"/>
              </w:rPr>
              <w:t xml:space="preserve"> (MongoDB)</w:t>
            </w:r>
          </w:p>
        </w:tc>
        <w:tc>
          <w:tcPr>
            <w:tcMar>
              <w:top w:w="60.0" w:type="dxa"/>
              <w:left w:w="100.0" w:type="dxa"/>
              <w:bottom w:w="60.0" w:type="dxa"/>
              <w:right w:w="100.0" w:type="dxa"/>
            </w:tcMar>
          </w:tcPr>
          <w:p w:rsidR="00000000" w:rsidDel="00000000" w:rsidP="00000000" w:rsidRDefault="00000000" w:rsidRPr="00000000" w14:paraId="000001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60.0" w:type="dxa"/>
              <w:left w:w="100.0" w:type="dxa"/>
              <w:bottom w:w="60.0" w:type="dxa"/>
              <w:right w:w="100.0" w:type="dxa"/>
            </w:tcMar>
          </w:tcPr>
          <w:p w:rsidR="00000000" w:rsidDel="00000000" w:rsidP="00000000" w:rsidRDefault="00000000" w:rsidRPr="00000000" w14:paraId="000001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 </w:t>
            </w:r>
            <w:r w:rsidDel="00000000" w:rsidR="00000000" w:rsidRPr="00000000">
              <w:rPr>
                <w:rFonts w:ascii="Times New Roman" w:cs="Times New Roman" w:eastAsia="Times New Roman" w:hAnsi="Times New Roman"/>
                <w:sz w:val="20"/>
                <w:szCs w:val="20"/>
                <w:shd w:fill="efefef" w:val="clear"/>
                <w:rtl w:val="0"/>
              </w:rPr>
              <w:t xml:space="preserve">verificacion.completada</w:t>
            </w:r>
            <w:r w:rsidDel="00000000" w:rsidR="00000000" w:rsidRPr="00000000">
              <w:rPr>
                <w:rFonts w:ascii="Times New Roman" w:cs="Times New Roman" w:eastAsia="Times New Roman" w:hAnsi="Times New Roman"/>
                <w:rtl w:val="0"/>
              </w:rPr>
              <w:t xml:space="preserve">; actualiza </w:t>
            </w:r>
            <w:r w:rsidDel="00000000" w:rsidR="00000000" w:rsidRPr="00000000">
              <w:rPr>
                <w:rFonts w:ascii="Times New Roman" w:cs="Times New Roman" w:eastAsia="Times New Roman" w:hAnsi="Times New Roman"/>
                <w:sz w:val="20"/>
                <w:szCs w:val="20"/>
                <w:shd w:fill="efefef" w:val="clear"/>
                <w:rtl w:val="0"/>
              </w:rPr>
              <w:t xml:space="preserve">TECNICO.estado_verificacion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4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Descubridor</w:t>
            </w:r>
          </w:p>
        </w:tc>
        <w:tc>
          <w:tcPr>
            <w:tcMar>
              <w:top w:w="60.0" w:type="dxa"/>
              <w:left w:w="100.0" w:type="dxa"/>
              <w:bottom w:w="60.0" w:type="dxa"/>
              <w:right w:w="100.0" w:type="dxa"/>
            </w:tcMar>
          </w:tcPr>
          <w:p w:rsidR="00000000" w:rsidDel="00000000" w:rsidP="00000000" w:rsidRDefault="00000000" w:rsidRPr="00000000" w14:paraId="000001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Colección </w:t>
            </w:r>
            <w:r w:rsidDel="00000000" w:rsidR="00000000" w:rsidRPr="00000000">
              <w:rPr>
                <w:rFonts w:ascii="Times New Roman" w:cs="Times New Roman" w:eastAsia="Times New Roman" w:hAnsi="Times New Roman"/>
                <w:sz w:val="20"/>
                <w:szCs w:val="20"/>
                <w:shd w:fill="efefef" w:val="clear"/>
                <w:rtl w:val="0"/>
              </w:rPr>
              <w:t xml:space="preserve">Post</w:t>
            </w:r>
            <w:r w:rsidDel="00000000" w:rsidR="00000000" w:rsidRPr="00000000">
              <w:rPr>
                <w:rFonts w:ascii="Times New Roman" w:cs="Times New Roman" w:eastAsia="Times New Roman" w:hAnsi="Times New Roman"/>
                <w:rtl w:val="0"/>
              </w:rPr>
              <w:t xml:space="preserve"> (MongoDB)</w:t>
            </w:r>
          </w:p>
        </w:tc>
        <w:tc>
          <w:tcPr>
            <w:tcMar>
              <w:top w:w="60.0" w:type="dxa"/>
              <w:left w:w="100.0" w:type="dxa"/>
              <w:bottom w:w="60.0" w:type="dxa"/>
              <w:right w:w="100.0" w:type="dxa"/>
            </w:tcMar>
          </w:tcPr>
          <w:p w:rsidR="00000000" w:rsidDel="00000000" w:rsidP="00000000" w:rsidRDefault="00000000" w:rsidRPr="00000000" w14:paraId="000001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w:t>
            </w:r>
            <w:r w:rsidDel="00000000" w:rsidR="00000000" w:rsidRPr="00000000">
              <w:rPr>
                <w:rFonts w:ascii="Times New Roman" w:cs="Times New Roman" w:eastAsia="Times New Roman" w:hAnsi="Times New Roman"/>
                <w:sz w:val="20"/>
                <w:szCs w:val="20"/>
                <w:shd w:fill="efefef" w:val="clear"/>
                <w:rtl w:val="0"/>
              </w:rPr>
              <w:t xml:space="preserve">{colección: POST, 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Servicios/Pagos</w:t>
            </w:r>
          </w:p>
        </w:tc>
        <w:tc>
          <w:tcPr>
            <w:tcMar>
              <w:top w:w="60.0" w:type="dxa"/>
              <w:left w:w="100.0" w:type="dxa"/>
              <w:bottom w:w="60.0" w:type="dxa"/>
              <w:right w:w="100.0" w:type="dxa"/>
            </w:tcMar>
          </w:tcPr>
          <w:p w:rsidR="00000000" w:rsidDel="00000000" w:rsidP="00000000" w:rsidRDefault="00000000" w:rsidRPr="00000000" w14:paraId="000001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SERVICIO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HISTORIAL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OUTBOX_SAGA</w:t>
            </w:r>
            <w:r w:rsidDel="00000000" w:rsidR="00000000" w:rsidRPr="00000000">
              <w:rPr>
                <w:rFonts w:ascii="Times New Roman" w:cs="Times New Roman" w:eastAsia="Times New Roman" w:hAnsi="Times New Roman"/>
                <w:rtl w:val="0"/>
              </w:rPr>
              <w:t xml:space="preserve"> (PostgreSQL); colección </w:t>
            </w:r>
            <w:r w:rsidDel="00000000" w:rsidR="00000000" w:rsidRPr="00000000">
              <w:rPr>
                <w:rFonts w:ascii="Times New Roman" w:cs="Times New Roman" w:eastAsia="Times New Roman" w:hAnsi="Times New Roman"/>
                <w:sz w:val="20"/>
                <w:szCs w:val="20"/>
                <w:shd w:fill="efefef" w:val="clear"/>
                <w:rtl w:val="0"/>
              </w:rPr>
              <w:t xml:space="preserve">Payment</w:t>
            </w:r>
            <w:r w:rsidDel="00000000" w:rsidR="00000000" w:rsidRPr="00000000">
              <w:rPr>
                <w:rFonts w:ascii="Times New Roman" w:cs="Times New Roman" w:eastAsia="Times New Roman" w:hAnsi="Times New Roman"/>
                <w:rtl w:val="0"/>
              </w:rPr>
              <w:t xml:space="preserve"> (MongoDB)</w:t>
            </w:r>
          </w:p>
        </w:tc>
        <w:tc>
          <w:tcPr>
            <w:tcMar>
              <w:top w:w="60.0" w:type="dxa"/>
              <w:left w:w="100.0" w:type="dxa"/>
              <w:bottom w:w="60.0" w:type="dxa"/>
              <w:right w:w="100.0" w:type="dxa"/>
            </w:tcMar>
          </w:tcPr>
          <w:p w:rsidR="00000000" w:rsidDel="00000000" w:rsidP="00000000" w:rsidRDefault="00000000" w:rsidRPr="00000000" w14:paraId="0000014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w:t>
            </w:r>
            <w:r w:rsidDel="00000000" w:rsidR="00000000" w:rsidRPr="00000000">
              <w:rPr>
                <w:rFonts w:ascii="Times New Roman" w:cs="Times New Roman" w:eastAsia="Times New Roman" w:hAnsi="Times New Roman"/>
                <w:sz w:val="20"/>
                <w:szCs w:val="20"/>
                <w:shd w:fill="efefef" w:val="clear"/>
                <w:rtl w:val="0"/>
              </w:rPr>
              <w:t xml:space="preserve">{colección: PAYMENT, id}</w:t>
            </w:r>
            <w:r w:rsidDel="00000000" w:rsidR="00000000" w:rsidRPr="00000000">
              <w:rPr>
                <w:rFonts w:ascii="Times New Roman" w:cs="Times New Roman" w:eastAsia="Times New Roman" w:hAnsi="Times New Roman"/>
                <w:rtl w:val="0"/>
              </w:rPr>
              <w:t xml:space="preserve"> (autoconsumo)</w:t>
            </w:r>
          </w:p>
        </w:tc>
        <w:tc>
          <w:tcPr>
            <w:tcMar>
              <w:top w:w="60.0" w:type="dxa"/>
              <w:left w:w="100.0" w:type="dxa"/>
              <w:bottom w:w="60.0" w:type="dxa"/>
              <w:right w:w="100.0" w:type="dxa"/>
            </w:tcMar>
          </w:tcPr>
          <w:p w:rsidR="00000000" w:rsidDel="00000000" w:rsidP="00000000" w:rsidRDefault="00000000" w:rsidRPr="00000000" w14:paraId="000001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 </w:t>
            </w:r>
            <w:r w:rsidDel="00000000" w:rsidR="00000000" w:rsidRPr="00000000">
              <w:rPr>
                <w:rFonts w:ascii="Times New Roman" w:cs="Times New Roman" w:eastAsia="Times New Roman" w:hAnsi="Times New Roman"/>
                <w:sz w:val="20"/>
                <w:szCs w:val="20"/>
                <w:shd w:fill="efefef" w:val="clear"/>
                <w:rtl w:val="0"/>
              </w:rPr>
              <w:t xml:space="preserve">servicio.creado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servicio.confirmado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pago.confirmado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0"/>
                <w:szCs w:val="20"/>
                <w:shd w:fill="efefef" w:val="clear"/>
                <w:rtl w:val="0"/>
              </w:rPr>
              <w:t xml:space="preserve">pago.fallido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Mensajería</w:t>
            </w:r>
          </w:p>
        </w:tc>
        <w:tc>
          <w:tcPr>
            <w:tcMar>
              <w:top w:w="60.0" w:type="dxa"/>
              <w:left w:w="100.0" w:type="dxa"/>
              <w:bottom w:w="60.0" w:type="dxa"/>
              <w:right w:w="100.0" w:type="dxa"/>
            </w:tcMar>
          </w:tcPr>
          <w:p w:rsidR="00000000" w:rsidDel="00000000" w:rsidP="00000000" w:rsidRDefault="00000000" w:rsidRPr="00000000" w14:paraId="0000014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Colección </w:t>
            </w:r>
            <w:r w:rsidDel="00000000" w:rsidR="00000000" w:rsidRPr="00000000">
              <w:rPr>
                <w:rFonts w:ascii="Times New Roman" w:cs="Times New Roman" w:eastAsia="Times New Roman" w:hAnsi="Times New Roman"/>
                <w:sz w:val="20"/>
                <w:szCs w:val="20"/>
                <w:shd w:fill="efefef" w:val="clear"/>
                <w:rtl w:val="0"/>
              </w:rPr>
              <w:t xml:space="preserve">Messages</w:t>
            </w:r>
            <w:r w:rsidDel="00000000" w:rsidR="00000000" w:rsidRPr="00000000">
              <w:rPr>
                <w:rFonts w:ascii="Times New Roman" w:cs="Times New Roman" w:eastAsia="Times New Roman" w:hAnsi="Times New Roman"/>
                <w:rtl w:val="0"/>
              </w:rPr>
              <w:t xml:space="preserve"> (MongoDB)</w:t>
            </w:r>
          </w:p>
        </w:tc>
        <w:tc>
          <w:tcPr>
            <w:tcMar>
              <w:top w:w="60.0" w:type="dxa"/>
              <w:left w:w="100.0" w:type="dxa"/>
              <w:bottom w:w="60.0" w:type="dxa"/>
              <w:right w:w="100.0" w:type="dxa"/>
            </w:tcMar>
          </w:tcPr>
          <w:p w:rsidR="00000000" w:rsidDel="00000000" w:rsidP="00000000" w:rsidRDefault="00000000" w:rsidRPr="00000000" w14:paraId="000001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w:t>
            </w:r>
            <w:r w:rsidDel="00000000" w:rsidR="00000000" w:rsidRPr="00000000">
              <w:rPr>
                <w:rFonts w:ascii="Times New Roman" w:cs="Times New Roman" w:eastAsia="Times New Roman" w:hAnsi="Times New Roman"/>
                <w:sz w:val="20"/>
                <w:szCs w:val="20"/>
                <w:shd w:fill="efefef" w:val="clear"/>
                <w:rtl w:val="0"/>
              </w:rPr>
              <w:t xml:space="preserve">servicio.creado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4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Calificaciones y Métricas</w:t>
            </w:r>
          </w:p>
        </w:tc>
        <w:tc>
          <w:tcPr>
            <w:tcMar>
              <w:top w:w="60.0" w:type="dxa"/>
              <w:left w:w="100.0" w:type="dxa"/>
              <w:bottom w:w="60.0" w:type="dxa"/>
              <w:right w:w="100.0" w:type="dxa"/>
            </w:tcMar>
          </w:tcPr>
          <w:p w:rsidR="00000000" w:rsidDel="00000000" w:rsidP="00000000" w:rsidRDefault="00000000" w:rsidRPr="00000000" w14:paraId="0000014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Calificaciones embebidas en </w:t>
            </w:r>
            <w:r w:rsidDel="00000000" w:rsidR="00000000" w:rsidRPr="00000000">
              <w:rPr>
                <w:rFonts w:ascii="Times New Roman" w:cs="Times New Roman" w:eastAsia="Times New Roman" w:hAnsi="Times New Roman"/>
                <w:sz w:val="20"/>
                <w:szCs w:val="20"/>
                <w:shd w:fill="efefef" w:val="clear"/>
                <w:rtl w:val="0"/>
              </w:rPr>
              <w:t xml:space="preserve">Post</w:t>
            </w:r>
            <w:r w:rsidDel="00000000" w:rsidR="00000000" w:rsidRPr="00000000">
              <w:rPr>
                <w:rFonts w:ascii="Times New Roman" w:cs="Times New Roman" w:eastAsia="Times New Roman" w:hAnsi="Times New Roman"/>
                <w:rtl w:val="0"/>
              </w:rPr>
              <w:t xml:space="preserve"> (custodio físico: Descubridor)</w:t>
            </w:r>
          </w:p>
        </w:tc>
        <w:tc>
          <w:tcPr>
            <w:tcMar>
              <w:top w:w="60.0" w:type="dxa"/>
              <w:left w:w="100.0" w:type="dxa"/>
              <w:bottom w:w="60.0" w:type="dxa"/>
              <w:right w:w="100.0" w:type="dxa"/>
            </w:tcMar>
          </w:tcPr>
          <w:p w:rsidR="00000000" w:rsidDel="00000000" w:rsidP="00000000" w:rsidRDefault="00000000" w:rsidRPr="00000000" w14:paraId="000001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w:t>
            </w:r>
            <w:r w:rsidDel="00000000" w:rsidR="00000000" w:rsidRPr="00000000">
              <w:rPr>
                <w:rFonts w:ascii="Times New Roman" w:cs="Times New Roman" w:eastAsia="Times New Roman" w:hAnsi="Times New Roman"/>
                <w:sz w:val="20"/>
                <w:szCs w:val="20"/>
                <w:shd w:fill="efefef" w:val="clear"/>
                <w:rtl w:val="0"/>
              </w:rPr>
              <w:t xml:space="preserve">servicio.cerrado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w:t>
            </w:r>
            <w:r w:rsidDel="00000000" w:rsidR="00000000" w:rsidRPr="00000000">
              <w:rPr>
                <w:rFonts w:ascii="Times New Roman" w:cs="Times New Roman" w:eastAsia="Times New Roman" w:hAnsi="Times New Roman"/>
                <w:sz w:val="20"/>
                <w:szCs w:val="20"/>
                <w:shd w:fill="efefef" w:val="clear"/>
                <w:rtl w:val="0"/>
              </w:rPr>
              <w:t xml:space="preserve">TECNICO.calificacion_promedio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5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(Panel Admin)</w:t>
            </w:r>
          </w:p>
        </w:tc>
        <w:tc>
          <w:tcPr>
            <w:tcMar>
              <w:top w:w="60.0" w:type="dxa"/>
              <w:left w:w="100.0" w:type="dxa"/>
              <w:bottom w:w="60.0" w:type="dxa"/>
              <w:right w:w="100.0" w:type="dxa"/>
            </w:tcMar>
          </w:tcPr>
          <w:p w:rsidR="00000000" w:rsidDel="00000000" w:rsidP="00000000" w:rsidRDefault="00000000" w:rsidRPr="00000000" w14:paraId="000001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OPERACION</w:t>
            </w:r>
            <w:r w:rsidDel="00000000" w:rsidR="00000000" w:rsidRPr="00000000">
              <w:rPr>
                <w:rFonts w:ascii="Times New Roman" w:cs="Times New Roman" w:eastAsia="Times New Roman" w:hAnsi="Times New Roman"/>
                <w:rtl w:val="0"/>
              </w:rPr>
              <w:t xml:space="preserve"> (PostgreSQL)</w:t>
            </w:r>
          </w:p>
        </w:tc>
        <w:tc>
          <w:tcPr>
            <w:tcMar>
              <w:top w:w="60.0" w:type="dxa"/>
              <w:left w:w="100.0" w:type="dxa"/>
              <w:bottom w:w="60.0" w:type="dxa"/>
              <w:right w:w="100.0" w:type="dxa"/>
            </w:tcMar>
          </w:tcPr>
          <w:p w:rsidR="00000000" w:rsidDel="00000000" w:rsidP="00000000" w:rsidRDefault="00000000" w:rsidRPr="00000000" w14:paraId="000001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60.0" w:type="dxa"/>
              <w:left w:w="100.0" w:type="dxa"/>
              <w:bottom w:w="60.0" w:type="dxa"/>
              <w:right w:w="100.0" w:type="dxa"/>
            </w:tcMar>
          </w:tcPr>
          <w:p w:rsidR="00000000" w:rsidDel="00000000" w:rsidP="00000000" w:rsidRDefault="00000000" w:rsidRPr="00000000" w14:paraId="000001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amplia sobre </w:t>
            </w:r>
            <w:r w:rsidDel="00000000" w:rsidR="00000000" w:rsidRPr="00000000">
              <w:rPr>
                <w:rFonts w:ascii="Times New Roman" w:cs="Times New Roman" w:eastAsia="Times New Roman" w:hAnsi="Times New Roman"/>
                <w:sz w:val="20"/>
                <w:szCs w:val="20"/>
                <w:shd w:fill="efefef" w:val="clear"/>
                <w:rtl w:val="0"/>
              </w:rPr>
              <w:t xml:space="preserve">USUARIO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TECNICO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SERVICIO</w:t>
            </w:r>
            <w:r w:rsidDel="00000000" w:rsidR="00000000" w:rsidRPr="00000000">
              <w:rPr>
                <w:rFonts w:ascii="Times New Roman" w:cs="Times New Roman" w:eastAsia="Times New Roman" w:hAnsi="Times New Roman"/>
                <w:rtl w:val="0"/>
              </w:rPr>
              <w:t xml:space="preserve"> vía permisos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Coordinación de Saga</w:t>
            </w:r>
          </w:p>
        </w:tc>
        <w:tc>
          <w:tcPr>
            <w:tcMar>
              <w:top w:w="60.0" w:type="dxa"/>
              <w:left w:w="100.0" w:type="dxa"/>
              <w:bottom w:w="60.0" w:type="dxa"/>
              <w:right w:w="100.0" w:type="dxa"/>
            </w:tcMar>
          </w:tcPr>
          <w:p w:rsidR="00000000" w:rsidDel="00000000" w:rsidP="00000000" w:rsidRDefault="00000000" w:rsidRPr="00000000" w14:paraId="000001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Ninguna estructura propia</w:t>
            </w:r>
          </w:p>
        </w:tc>
        <w:tc>
          <w:tcPr>
            <w:tcMar>
              <w:top w:w="60.0" w:type="dxa"/>
              <w:left w:w="100.0" w:type="dxa"/>
              <w:bottom w:w="60.0" w:type="dxa"/>
              <w:right w:w="100.0" w:type="dxa"/>
            </w:tcMar>
          </w:tcPr>
          <w:p w:rsidR="00000000" w:rsidDel="00000000" w:rsidP="00000000" w:rsidRDefault="00000000" w:rsidRPr="00000000" w14:paraId="000001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Relee </w:t>
            </w:r>
            <w:r w:rsidDel="00000000" w:rsidR="00000000" w:rsidRPr="00000000">
              <w:rPr>
                <w:rFonts w:ascii="Times New Roman" w:cs="Times New Roman" w:eastAsia="Times New Roman" w:hAnsi="Times New Roman"/>
                <w:sz w:val="20"/>
                <w:szCs w:val="20"/>
                <w:shd w:fill="efefef" w:val="clear"/>
                <w:rtl w:val="0"/>
              </w:rPr>
              <w:t xml:space="preserve">OUTBOX_SAGA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Invoca microservicios que inician cada paso; publica eventos al bus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w:t>
            </w:r>
            <w:r w:rsidDel="00000000" w:rsidR="00000000" w:rsidRPr="00000000">
              <w:rPr>
                <w:rFonts w:ascii="Times New Roman" w:cs="Times New Roman" w:eastAsia="Times New Roman" w:hAnsi="Times New Roman"/>
                <w:sz w:val="20"/>
                <w:szCs w:val="20"/>
                <w:shd w:fill="efefef" w:val="clear"/>
                <w:rtl w:val="0"/>
              </w:rPr>
              <w:t xml:space="preserve">ms-ingesta-lakehouse</w:t>
            </w:r>
            <w:r w:rsidDel="00000000" w:rsidR="00000000" w:rsidRPr="00000000">
              <w:rPr>
                <w:rFonts w:ascii="Times New Roman" w:cs="Times New Roman" w:eastAsia="Times New Roman" w:hAnsi="Times New Roman"/>
                <w:rtl w:val="0"/>
              </w:rPr>
              <w:t xml:space="preserve">)</w:t>
            </w:r>
          </w:p>
        </w:tc>
        <w:tc>
          <w:tcPr>
            <w:tcMar>
              <w:top w:w="60.0" w:type="dxa"/>
              <w:left w:w="100.0" w:type="dxa"/>
              <w:bottom w:w="60.0" w:type="dxa"/>
              <w:right w:w="100.0" w:type="dxa"/>
            </w:tcMar>
          </w:tcPr>
          <w:p w:rsidR="00000000" w:rsidDel="00000000" w:rsidP="00000000" w:rsidRDefault="00000000" w:rsidRPr="00000000" w14:paraId="000001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Vistas materializadas / data warehouse</w:t>
            </w:r>
          </w:p>
        </w:tc>
        <w:tc>
          <w:tcPr>
            <w:tcMar>
              <w:top w:w="60.0" w:type="dxa"/>
              <w:left w:w="100.0" w:type="dxa"/>
              <w:bottom w:w="60.0" w:type="dxa"/>
              <w:right w:w="100.0" w:type="dxa"/>
            </w:tcMar>
          </w:tcPr>
          <w:p w:rsidR="00000000" w:rsidDel="00000000" w:rsidP="00000000" w:rsidRDefault="00000000" w:rsidRPr="00000000" w14:paraId="0000015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de todos los tópicos</w:t>
            </w:r>
          </w:p>
        </w:tc>
        <w:tc>
          <w:tcPr>
            <w:tcMar>
              <w:top w:w="60.0" w:type="dxa"/>
              <w:left w:w="100.0" w:type="dxa"/>
              <w:bottom w:w="60.0" w:type="dxa"/>
              <w:right w:w="100.0" w:type="dxa"/>
            </w:tcMar>
          </w:tcPr>
          <w:p w:rsidR="00000000" w:rsidDel="00000000" w:rsidP="00000000" w:rsidRDefault="00000000" w:rsidRPr="00000000" w14:paraId="000001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5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 Vínculo entre el componente relacional y el no relacional</w:t>
      </w:r>
    </w:p>
    <w:p w:rsidR="00000000" w:rsidDel="00000000" w:rsidP="00000000" w:rsidRDefault="00000000" w:rsidRPr="00000000" w14:paraId="0000015E">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y MongoDB </w:t>
      </w:r>
      <w:r w:rsidDel="00000000" w:rsidR="00000000" w:rsidRPr="00000000">
        <w:rPr>
          <w:rFonts w:ascii="Times New Roman" w:cs="Times New Roman" w:eastAsia="Times New Roman" w:hAnsi="Times New Roman"/>
          <w:b w:val="1"/>
          <w:bCs w:val="1"/>
          <w:rtl w:val="0"/>
        </w:rPr>
        <w:t xml:space="preserve">no se comunican directamente ni de forma síncrona</w:t>
      </w:r>
      <w:r w:rsidDel="00000000" w:rsidR="00000000" w:rsidRPr="00000000">
        <w:rPr>
          <w:rFonts w:ascii="Times New Roman" w:cs="Times New Roman" w:eastAsia="Times New Roman" w:hAnsi="Times New Roman"/>
          <w:rtl w:val="0"/>
        </w:rPr>
        <w:t xml:space="preserve">. Toda sincronización pasa por el bus de eventos (ADR-024):</w:t>
      </w:r>
    </w:p>
    <w:p w:rsidR="00000000" w:rsidDel="00000000" w:rsidP="00000000" w:rsidRDefault="00000000" w:rsidRPr="00000000" w14:paraId="0000015F">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PostgreSQL (escritura)</w:t>
      </w:r>
      <w:r w:rsidDel="00000000" w:rsidR="00000000" w:rsidRPr="00000000">
        <w:rPr>
          <w:rtl w:val="0"/>
        </w:rPr>
      </w:r>
    </w:p>
    <w:p w:rsidR="00000000" w:rsidDel="00000000" w:rsidP="00000000" w:rsidRDefault="00000000" w:rsidRPr="00000000" w14:paraId="00000160">
      <w:pPr>
        <w:shd w:fill="f2f2f2" w:val="clear"/>
        <w:spacing w:after="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  ↓ misma transacción</w:t>
      </w:r>
      <w:r w:rsidDel="00000000" w:rsidR="00000000" w:rsidRPr="00000000">
        <w:rPr>
          <w:rtl w:val="0"/>
        </w:rPr>
      </w:r>
    </w:p>
    <w:p w:rsidR="00000000" w:rsidDel="00000000" w:rsidP="00000000" w:rsidRDefault="00000000" w:rsidRPr="00000000" w14:paraId="00000161">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Tabla OUTBOX_SAGA</w:t>
      </w:r>
      <w:r w:rsidDel="00000000" w:rsidR="00000000" w:rsidRPr="00000000">
        <w:rPr>
          <w:rtl w:val="0"/>
        </w:rPr>
      </w:r>
    </w:p>
    <w:p w:rsidR="00000000" w:rsidDel="00000000" w:rsidP="00000000" w:rsidRDefault="00000000" w:rsidRPr="00000000" w14:paraId="00000162">
      <w:pPr>
        <w:shd w:fill="f2f2f2" w:val="clear"/>
        <w:spacing w:after="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  ↓</w:t>
      </w:r>
      <w:r w:rsidDel="00000000" w:rsidR="00000000" w:rsidRPr="00000000">
        <w:rPr>
          <w:rtl w:val="0"/>
        </w:rPr>
      </w:r>
    </w:p>
    <w:p w:rsidR="00000000" w:rsidDel="00000000" w:rsidP="00000000" w:rsidRDefault="00000000" w:rsidRPr="00000000" w14:paraId="00000163">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BUS DE EVENTOS (Kafka)</w:t>
      </w:r>
      <w:r w:rsidDel="00000000" w:rsidR="00000000" w:rsidRPr="00000000">
        <w:rPr>
          <w:rtl w:val="0"/>
        </w:rPr>
      </w:r>
    </w:p>
    <w:p w:rsidR="00000000" w:rsidDel="00000000" w:rsidP="00000000" w:rsidRDefault="00000000" w:rsidRPr="00000000" w14:paraId="00000164">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payload: {"coleccion": "POST", "id": "uuid_servicio", "evento": "SERVICIO_CREADO"}</w:t>
      </w:r>
      <w:r w:rsidDel="00000000" w:rsidR="00000000" w:rsidRPr="00000000">
        <w:rPr>
          <w:rtl w:val="0"/>
        </w:rPr>
      </w:r>
    </w:p>
    <w:p w:rsidR="00000000" w:rsidDel="00000000" w:rsidP="00000000" w:rsidRDefault="00000000" w:rsidRPr="00000000" w14:paraId="00000165">
      <w:pPr>
        <w:shd w:fill="f2f2f2" w:val="clear"/>
        <w:spacing w:after="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  ↓</w:t>
      </w:r>
      <w:r w:rsidDel="00000000" w:rsidR="00000000" w:rsidRPr="00000000">
        <w:rPr>
          <w:rtl w:val="0"/>
        </w:rPr>
      </w:r>
    </w:p>
    <w:p w:rsidR="00000000" w:rsidDel="00000000" w:rsidP="00000000" w:rsidRDefault="00000000" w:rsidRPr="00000000" w14:paraId="00000166">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Microservicios consumidores (Descubridor, Gestión de Servicios/Pagos, Mensajería, Procesamiento)</w:t>
      </w:r>
      <w:r w:rsidDel="00000000" w:rsidR="00000000" w:rsidRPr="00000000">
        <w:rPr>
          <w:rtl w:val="0"/>
        </w:rPr>
      </w:r>
    </w:p>
    <w:p w:rsidR="00000000" w:rsidDel="00000000" w:rsidP="00000000" w:rsidRDefault="00000000" w:rsidRPr="00000000" w14:paraId="00000167">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publicado es deliberadamente mínimo (</w:t>
      </w:r>
      <w:r w:rsidDel="00000000" w:rsidR="00000000" w:rsidRPr="00000000">
        <w:rPr>
          <w:rFonts w:ascii="Times New Roman" w:cs="Times New Roman" w:eastAsia="Times New Roman" w:hAnsi="Times New Roman"/>
          <w:b w:val="1"/>
          <w:bCs w:val="1"/>
          <w:rtl w:val="0"/>
        </w:rPr>
        <w:t xml:space="preserve">Thin Event</w:t>
      </w:r>
      <w:r w:rsidDel="00000000" w:rsidR="00000000" w:rsidRPr="00000000">
        <w:rPr>
          <w:rFonts w:ascii="Times New Roman" w:cs="Times New Roman" w:eastAsia="Times New Roman" w:hAnsi="Times New Roman"/>
          <w:rtl w:val="0"/>
        </w:rPr>
        <w:t xml:space="preserve">): solo </w:t>
      </w:r>
      <w:r w:rsidDel="00000000" w:rsidR="00000000" w:rsidRPr="00000000">
        <w:rPr>
          <w:rFonts w:ascii="Times New Roman" w:cs="Times New Roman" w:eastAsia="Times New Roman" w:hAnsi="Times New Roman"/>
          <w:sz w:val="20"/>
          <w:szCs w:val="20"/>
          <w:shd w:fill="efefef" w:val="clear"/>
          <w:rtl w:val="0"/>
        </w:rPr>
        <w:t xml:space="preserve">{colección, id}</w:t>
      </w:r>
      <w:r w:rsidDel="00000000" w:rsidR="00000000" w:rsidRPr="00000000">
        <w:rPr>
          <w:rFonts w:ascii="Times New Roman" w:cs="Times New Roman" w:eastAsia="Times New Roman" w:hAnsi="Times New Roman"/>
          <w:rtl w:val="0"/>
        </w:rPr>
        <w:t xml:space="preserve">, nunca el objeto completo. Esto evita duplicar la fuente de verdad (cada consumidor decide qué necesita y lo pide vía API de lectura — patrón *pull*, no *push*) y desacopla el contrato del evento de la evolución del esquema de la tabla de origen.</w:t>
      </w:r>
    </w:p>
    <w:p w:rsidR="00000000" w:rsidDel="00000000" w:rsidP="00000000" w:rsidRDefault="00000000" w:rsidRPr="00000000" w14:paraId="00000169">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 Flujo de interacción: creación de Servicio y pago</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Cliente envía una solicitud de creación de servicio al API Gateway, indicando el técnico y la categoría.</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API Gateway valida el token JWT contra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ms-usuarios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ms-servicios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inicia la Saga "CrearServicio".</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ms-servicios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inserta el registro en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y, en la misma transacción PostgreSQL, inserta un evento en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OUTBOX_SAGA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Se detecta el registro en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OUTBOX_SAGA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y se publica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SERVICIO_CREADO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al bus con payload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{colección: "POST", id: id_servicio}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dominio Descubridor consume el evento y crea el documento correspondiente en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Post</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(MongoDB).</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ms-comunicacion</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consume el mismo evento y habilita el canal de chat asociado al servicio.</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Cliente confirma el servicio y declara el monto;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ms-servicios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actualiza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y publica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SERVICIO_CONFIRMADO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con payload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{colección: "PAYMENT", id: id_servicio}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ms-pagos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consume el evento (autoconsumo entre motores, al no existir transacción distribuida única), crea el documento en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Payment</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(incluyendo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idempotency_key</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 inicia el cobro.</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 el pago es exitoso, se publica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PAGO_CONFIRMADO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pasa 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CERRADO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y se habilita la evaluación de reputación.</w:t>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 el pago falla, se publica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PAGO_FALLIDO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se ejecuta la transacción compensatoria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SERVICIO.estado = CANCELADO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y se notifica el fallo por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ms-comunicacion</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75">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 Estrategia de coherencia</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Tópicos de eventos: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servicio.creado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servicio.confirmado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pago.iniciado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pago.confirmado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pago.fallido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calificacion.habilitada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Idempotencia obligatoria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en el consumidor de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Payment</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mediante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idempotency_key</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Compensación explícita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nunca rollback físico cruzado entre motores.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Consistencia eventual pura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para el chat: su pérdida en tránsito no compromete la integridad del negocio.</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Reconciliación periódica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un proceso batch compara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servicio.payment_ref_id</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contra </w:t>
      </w:r>
      <w:r w:rsidDel="00000000" w:rsidR="00000000" w:rsidRPr="00000000">
        <w:rPr>
          <w:rFonts w:ascii="Times New Roman" w:cs="Times New Roman" w:eastAsia="Times New Roman" w:hAnsi="Times New Roman"/>
          <w:i w:val="0"/>
          <w:iCs w:val="0"/>
          <w:smallCaps w:val="0"/>
          <w:strike w:val="0"/>
          <w:sz w:val="20"/>
          <w:szCs w:val="20"/>
          <w:u w:val="none"/>
          <w:shd w:fill="efefef" w:val="clear"/>
          <w:vertAlign w:val="baseline"/>
          <w:rtl w:val="0"/>
        </w:rPr>
        <w:t xml:space="preserve">Payment._id</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para detectar referencias huérfanas.</w:t>
      </w:r>
      <w:r w:rsidDel="00000000" w:rsidR="00000000" w:rsidRPr="00000000">
        <w:rPr>
          <w:rtl w:val="0"/>
        </w:rPr>
      </w:r>
    </w:p>
    <w:p w:rsidR="00000000" w:rsidDel="00000000" w:rsidP="00000000" w:rsidRDefault="00000000" w:rsidRPr="00000000" w14:paraId="0000017C">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8.5 Arquitectura de datos analítica: Data Lakehouse</w:t>
      </w:r>
    </w:p>
    <w:p w:rsidR="00000000" w:rsidDel="00000000" w:rsidP="00000000" w:rsidRDefault="00000000" w:rsidRPr="00000000" w14:paraId="0000017E">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 los datos ya publicados por los microservicios operativos, Fixia adopta un patrón </w:t>
      </w:r>
      <w:r w:rsidDel="00000000" w:rsidR="00000000" w:rsidRPr="00000000">
        <w:rPr>
          <w:rFonts w:ascii="Times New Roman" w:cs="Times New Roman" w:eastAsia="Times New Roman" w:hAnsi="Times New Roman"/>
          <w:b w:val="1"/>
          <w:bCs w:val="1"/>
          <w:rtl w:val="0"/>
        </w:rPr>
        <w:t xml:space="preserve">Data Lakehouse</w:t>
      </w:r>
      <w:r w:rsidDel="00000000" w:rsidR="00000000" w:rsidRPr="00000000">
        <w:rPr>
          <w:rFonts w:ascii="Times New Roman" w:cs="Times New Roman" w:eastAsia="Times New Roman" w:hAnsi="Times New Roman"/>
          <w:rtl w:val="0"/>
        </w:rPr>
        <w:t xml:space="preserve"> implementado íntegramente dentro de </w:t>
      </w:r>
      <w:r w:rsidDel="00000000" w:rsidR="00000000" w:rsidRPr="00000000">
        <w:rPr>
          <w:rFonts w:ascii="Times New Roman" w:cs="Times New Roman" w:eastAsia="Times New Roman" w:hAnsi="Times New Roman"/>
          <w:sz w:val="20"/>
          <w:szCs w:val="20"/>
          <w:shd w:fill="efefef" w:val="clear"/>
          <w:rtl w:val="0"/>
        </w:rPr>
        <w:t xml:space="preserve">ms-ingesta-lakehouse</w:t>
      </w:r>
      <w:r w:rsidDel="00000000" w:rsidR="00000000" w:rsidRPr="00000000">
        <w:rPr>
          <w:rFonts w:ascii="Times New Roman" w:cs="Times New Roman" w:eastAsia="Times New Roman" w:hAnsi="Times New Roman"/>
          <w:rtl w:val="0"/>
        </w:rPr>
        <w:t xml:space="preserve"> (Go), para producir métricas, historiales y vistas organizadas por servicio. No se adopta organización interna *Medallion* (Bronze/Silver/Gold): el volumen de datos del MVP no la justifica.</w:t>
      </w:r>
    </w:p>
    <w:p w:rsidR="00000000" w:rsidDel="00000000" w:rsidP="00000000" w:rsidRDefault="00000000" w:rsidRPr="00000000" w14:paraId="0000017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capas funcionales:</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Ingesta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(Go, procesos síncronos): se suscribe a los tópicos ya definidos en </w:t>
      </w:r>
      <w:hyperlink w:anchor="a8yigsh0jvba">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§8.4</w:t>
        </w:r>
      </w:hyperlink>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al recibir un Thin Event, hace *pull* del registro completo vía la API de lectura del microservicio propietario; normaliza, limpia y clasifica por reglas de negocio. Nunca compite con el bus como vía de entrada.</w:t>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Almacenamiento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retención en caliente en una colección de trabajo MongoDB (mismo motor, esquema flexible); un cron job (3:00 a. m.) migra a almacenamiento en frío (backup periódico del mismo motor, no una tecnología nueva).</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Análisis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recopilación y ordenamiento de datos normalizados; estructuración de métricas (conteo de publicaciones, clasificación por categoría, historiales) agrupadas por servicio.</w:t>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Consumo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consultas organizadas sobre los datos agrupados, visualización y endpoints hacia la interfaz/usuario final.</w:t>
      </w:r>
    </w:p>
    <w:p w:rsidR="00000000" w:rsidDel="00000000" w:rsidP="00000000" w:rsidRDefault="00000000" w:rsidRPr="00000000" w14:paraId="0000018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 de traspaso interno — tabla </w:t>
      </w:r>
      <w:r w:rsidDel="00000000" w:rsidR="00000000" w:rsidRPr="00000000">
        <w:rPr>
          <w:rFonts w:ascii="Times New Roman" w:cs="Times New Roman" w:eastAsia="Times New Roman" w:hAnsi="Times New Roman"/>
          <w:sz w:val="20"/>
          <w:szCs w:val="20"/>
          <w:shd w:fill="efefef" w:val="clear"/>
          <w:rtl w:val="0"/>
        </w:rPr>
        <w:t xml:space="preserve">OUTBOX_INGESTA</w:t>
      </w:r>
      <w:r w:rsidDel="00000000" w:rsidR="00000000" w:rsidRPr="00000000">
        <w:rPr>
          <w:rFonts w:ascii="Times New Roman" w:cs="Times New Roman" w:eastAsia="Times New Roman" w:hAnsi="Times New Roman"/>
          <w:rtl w:val="0"/>
        </w:rPr>
        <w:t xml:space="preserve"> (distinta de </w:t>
      </w:r>
      <w:r w:rsidDel="00000000" w:rsidR="00000000" w:rsidRPr="00000000">
        <w:rPr>
          <w:rFonts w:ascii="Times New Roman" w:cs="Times New Roman" w:eastAsia="Times New Roman" w:hAnsi="Times New Roman"/>
          <w:sz w:val="20"/>
          <w:szCs w:val="20"/>
          <w:shd w:fill="efefef" w:val="clear"/>
          <w:rtl w:val="0"/>
        </w:rPr>
        <w:t xml:space="preserve">OUTBOX_SAGA</w:t>
      </w:r>
      <w:r w:rsidDel="00000000" w:rsidR="00000000" w:rsidRPr="00000000">
        <w:rPr>
          <w:rFonts w:ascii="Times New Roman" w:cs="Times New Roman" w:eastAsia="Times New Roman" w:hAnsi="Times New Roman"/>
          <w:rtl w:val="0"/>
        </w:rPr>
        <w:t xml:space="preserve">, sin relación con el bus): garantiza el traspaso confiable de la Capa de Ingesta hacia la Capa de Almacenamiento (relay interno en Go, reintentos sin duplicar, retención de 24–48 horas, índice recomendado </w:t>
      </w:r>
      <w:r w:rsidDel="00000000" w:rsidR="00000000" w:rsidRPr="00000000">
        <w:rPr>
          <w:rFonts w:ascii="Times New Roman" w:cs="Times New Roman" w:eastAsia="Times New Roman" w:hAnsi="Times New Roman"/>
          <w:sz w:val="20"/>
          <w:szCs w:val="20"/>
          <w:shd w:fill="efefef" w:val="clear"/>
          <w:rtl w:val="0"/>
        </w:rPr>
        <w:t xml:space="preserve">(estado, fecha_creacion)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6">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ms-ingesta-lakehouse</w:t>
      </w:r>
      <w:r w:rsidDel="00000000" w:rsidR="00000000" w:rsidRPr="00000000">
        <w:rPr>
          <w:rFonts w:ascii="Times New Roman" w:cs="Times New Roman" w:eastAsia="Times New Roman" w:hAnsi="Times New Roman"/>
          <w:rtl w:val="0"/>
        </w:rPr>
        <w:t xml:space="preserve"> es también el punto de observación que resuelve el contrato de datos </w:t>
      </w:r>
      <w:r w:rsidDel="00000000" w:rsidR="00000000" w:rsidRPr="00000000">
        <w:rPr>
          <w:rFonts w:ascii="Times New Roman" w:cs="Times New Roman" w:eastAsia="Times New Roman" w:hAnsi="Times New Roman"/>
          <w:b w:val="1"/>
          <w:bCs w:val="1"/>
          <w:rtl w:val="0"/>
        </w:rPr>
        <w:t xml:space="preserve">CD-09 (Auditoría)</w:t>
      </w:r>
      <w:r w:rsidDel="00000000" w:rsidR="00000000" w:rsidRPr="00000000">
        <w:rPr>
          <w:rFonts w:ascii="Times New Roman" w:cs="Times New Roman" w:eastAsia="Times New Roman" w:hAnsi="Times New Roman"/>
          <w:rtl w:val="0"/>
        </w:rPr>
        <w:t xml:space="preserve">: no requiere tabla ni custodio de escritura propios porque se implementa como consulta de solo lectura sobre esta capa analítica.</w:t>
      </w:r>
    </w:p>
    <w:p w:rsidR="00000000" w:rsidDel="00000000" w:rsidP="00000000" w:rsidRDefault="00000000" w:rsidRPr="00000000" w14:paraId="00000187">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Infraestructura y Despliegue</w:t>
      </w:r>
    </w:p>
    <w:p w:rsidR="00000000" w:rsidDel="00000000" w:rsidP="00000000" w:rsidRDefault="00000000" w:rsidRPr="00000000" w14:paraId="00000189">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 Topología</w:t>
      </w:r>
    </w:p>
    <w:p w:rsidR="00000000" w:rsidDel="00000000" w:rsidP="00000000" w:rsidRDefault="00000000" w:rsidRPr="00000000" w14:paraId="0000018A">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Clúster </w:t>
      </w:r>
      <w:r w:rsidDel="00000000" w:rsidR="00000000" w:rsidRPr="00000000">
        <w:rPr>
          <w:rFonts w:ascii="Times New Roman" w:cs="Times New Roman" w:eastAsia="Times New Roman" w:hAnsi="Times New Roman"/>
          <w:b w:val="1"/>
          <w:bCs w:val="1"/>
          <w:rtl w:val="0"/>
        </w:rPr>
        <w:t xml:space="preserve">K3s on-premise</w:t>
      </w:r>
      <w:r w:rsidDel="00000000" w:rsidR="00000000" w:rsidRPr="00000000">
        <w:rPr>
          <w:rFonts w:ascii="Times New Roman" w:cs="Times New Roman" w:eastAsia="Times New Roman" w:hAnsi="Times New Roman"/>
          <w:rtl w:val="0"/>
        </w:rPr>
        <w:t xml:space="preserve"> de ocho máquinas virtuales: un Control Plane (VM-01, 6 GB RAM / 4 vCPU / 250 GB) y siete Workers (4 vCPU / 6–8 GB RAM / 250 GB cada uno), asignados funcionalmente a QA/Test (VM-02 a VM-04) y a Producción (VM-05 a VM-08) — ADR-026, formaliza ADR-016 (Sprint 1).</w:t>
      </w:r>
    </w:p>
    <w:p w:rsidR="00000000" w:rsidDel="00000000" w:rsidP="00000000" w:rsidRDefault="00000000" w:rsidRPr="00000000" w14:paraId="0000018B">
      <w:pPr>
        <w:shd w:fill="f2f2f2" w:val="clear"/>
        <w:spacing w:after="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Internet → WAF (administrado por Red) → Reverse Proxy → Traefik (Ingress)</w:t>
      </w:r>
      <w:r w:rsidDel="00000000" w:rsidR="00000000" w:rsidRPr="00000000">
        <w:rPr>
          <w:rtl w:val="0"/>
        </w:rPr>
      </w:r>
    </w:p>
    <w:p w:rsidR="00000000" w:rsidDel="00000000" w:rsidP="00000000" w:rsidRDefault="00000000" w:rsidRPr="00000000" w14:paraId="0000018C">
      <w:pPr>
        <w:shd w:fill="f2f2f2" w:val="clear"/>
        <w:spacing w:after="0" w:lineRule="auto"/>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   → K3s on-premise</w:t>
      </w:r>
      <w:r w:rsidDel="00000000" w:rsidR="00000000" w:rsidRPr="00000000">
        <w:rPr>
          <w:rtl w:val="0"/>
        </w:rPr>
      </w:r>
    </w:p>
    <w:p w:rsidR="00000000" w:rsidDel="00000000" w:rsidP="00000000" w:rsidRDefault="00000000" w:rsidRPr="00000000" w14:paraId="0000018D">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Workers QA/Test (VM-02..VM-04)</w:t>
      </w:r>
      <w:r w:rsidDel="00000000" w:rsidR="00000000" w:rsidRPr="00000000">
        <w:rPr>
          <w:rtl w:val="0"/>
        </w:rPr>
      </w:r>
    </w:p>
    <w:p w:rsidR="00000000" w:rsidDel="00000000" w:rsidP="00000000" w:rsidRDefault="00000000" w:rsidRPr="00000000" w14:paraId="0000018E">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Workers Producción (VM-05..VM-08)</w:t>
      </w:r>
      <w:r w:rsidDel="00000000" w:rsidR="00000000" w:rsidRPr="00000000">
        <w:rPr>
          <w:rtl w:val="0"/>
        </w:rPr>
      </w:r>
    </w:p>
    <w:p w:rsidR="00000000" w:rsidDel="00000000" w:rsidP="00000000" w:rsidRDefault="00000000" w:rsidRPr="00000000" w14:paraId="0000018F">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Microservicios</w:t>
      </w:r>
      <w:r w:rsidDel="00000000" w:rsidR="00000000" w:rsidRPr="00000000">
        <w:rPr>
          <w:rtl w:val="0"/>
        </w:rPr>
      </w:r>
    </w:p>
    <w:p w:rsidR="00000000" w:rsidDel="00000000" w:rsidP="00000000" w:rsidRDefault="00000000" w:rsidRPr="00000000" w14:paraId="00000190">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Kafka (Strimzi) + Debezium (CDC)</w:t>
      </w:r>
      <w:r w:rsidDel="00000000" w:rsidR="00000000" w:rsidRPr="00000000">
        <w:rPr>
          <w:rtl w:val="0"/>
        </w:rPr>
      </w:r>
    </w:p>
    <w:p w:rsidR="00000000" w:rsidDel="00000000" w:rsidP="00000000" w:rsidRDefault="00000000" w:rsidRPr="00000000" w14:paraId="00000191">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PostgreSQL / MongoDB (por microservicio)</w:t>
      </w:r>
      <w:r w:rsidDel="00000000" w:rsidR="00000000" w:rsidRPr="00000000">
        <w:rPr>
          <w:rtl w:val="0"/>
        </w:rPr>
      </w:r>
    </w:p>
    <w:p w:rsidR="00000000" w:rsidDel="00000000" w:rsidP="00000000" w:rsidRDefault="00000000" w:rsidRPr="00000000" w14:paraId="00000192">
      <w:pPr>
        <w:shd w:fill="f2f2f2"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Observabilidad / Storage (MinIO) / Vault</w:t>
      </w:r>
      <w:r w:rsidDel="00000000" w:rsidR="00000000" w:rsidRPr="00000000">
        <w:rPr>
          <w:rtl w:val="0"/>
        </w:rPr>
      </w:r>
    </w:p>
    <w:p w:rsidR="00000000" w:rsidDel="00000000" w:rsidP="00000000" w:rsidRDefault="00000000" w:rsidRPr="00000000" w14:paraId="00000193">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separación QA/Producción </w:t>
      </w:r>
      <w:r w:rsidDel="00000000" w:rsidR="00000000" w:rsidRPr="00000000">
        <w:rPr>
          <w:rFonts w:ascii="Times New Roman" w:cs="Times New Roman" w:eastAsia="Times New Roman" w:hAnsi="Times New Roman"/>
          <w:b w:val="1"/>
          <w:bCs w:val="1"/>
          <w:rtl w:val="0"/>
        </w:rPr>
        <w:t xml:space="preserve">no depende únicamente del namespace</w:t>
      </w:r>
      <w:r w:rsidDel="00000000" w:rsidR="00000000" w:rsidRPr="00000000">
        <w:rPr>
          <w:rFonts w:ascii="Times New Roman" w:cs="Times New Roman" w:eastAsia="Times New Roman" w:hAnsi="Times New Roman"/>
          <w:rtl w:val="0"/>
        </w:rPr>
        <w:t xml:space="preserve">: se combinan namespaces, labels, taints/tolerations, node affinity, RBAC, NetworkPolicies, ServiceAccounts y límites de recursos — control explícitamente exigido por el Documento de Infraestructura para evitar que un despliegue de QA termine en un Worker de Producción.</w:t>
      </w:r>
    </w:p>
    <w:p w:rsidR="00000000" w:rsidDel="00000000" w:rsidP="00000000" w:rsidRDefault="00000000" w:rsidRPr="00000000" w14:paraId="00000195">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 sobre el Control Plane: el diseño contempla un único Control Plane; su pérdida limita la administración y el scheduling del clúster, aunque los workloads ya en ejecución continúan mientras los nodos permanezcan saludables. La alta disponibilidad del plano de control queda como evolución futura no resuelta en este Sprint (ver tabla de pendientes en </w:t>
      </w:r>
      <w:hyperlink w:anchor="1wq9tq42alww">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6">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 Ambientes</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1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Ambiente</w:t>
            </w:r>
          </w:p>
        </w:tc>
        <w:tc>
          <w:tcPr>
            <w:shd w:fill="dce6f1" w:val="clear"/>
            <w:tcMar>
              <w:top w:w="60.0" w:type="dxa"/>
              <w:left w:w="100.0" w:type="dxa"/>
              <w:bottom w:w="60.0" w:type="dxa"/>
              <w:right w:w="100.0" w:type="dxa"/>
            </w:tcMar>
          </w:tcPr>
          <w:p w:rsidR="00000000" w:rsidDel="00000000" w:rsidP="00000000" w:rsidRDefault="00000000" w:rsidRPr="00000000" w14:paraId="0000019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Ubicación</w:t>
            </w:r>
          </w:p>
        </w:tc>
        <w:tc>
          <w:tcPr>
            <w:shd w:fill="dce6f1" w:val="clear"/>
            <w:tcMar>
              <w:top w:w="60.0" w:type="dxa"/>
              <w:left w:w="100.0" w:type="dxa"/>
              <w:bottom w:w="60.0" w:type="dxa"/>
              <w:right w:w="100.0" w:type="dxa"/>
            </w:tcMar>
          </w:tcPr>
          <w:p w:rsidR="00000000" w:rsidDel="00000000" w:rsidP="00000000" w:rsidRDefault="00000000" w:rsidRPr="00000000" w14:paraId="0000019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 Local</w:t>
            </w:r>
          </w:p>
        </w:tc>
        <w:tc>
          <w:tcPr>
            <w:tcMar>
              <w:top w:w="60.0" w:type="dxa"/>
              <w:left w:w="100.0" w:type="dxa"/>
              <w:bottom w:w="60.0" w:type="dxa"/>
              <w:right w:w="100.0" w:type="dxa"/>
            </w:tcMar>
          </w:tcPr>
          <w:p w:rsidR="00000000" w:rsidDel="00000000" w:rsidP="00000000" w:rsidRDefault="00000000" w:rsidRPr="00000000" w14:paraId="0000019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Equipos de los desarrolladores, Docker Compose</w:t>
            </w:r>
          </w:p>
        </w:tc>
        <w:tc>
          <w:tcPr>
            <w:tcMar>
              <w:top w:w="60.0" w:type="dxa"/>
              <w:left w:w="100.0" w:type="dxa"/>
              <w:bottom w:w="60.0" w:type="dxa"/>
              <w:right w:w="100.0" w:type="dxa"/>
            </w:tcMar>
          </w:tcPr>
          <w:p w:rsidR="00000000" w:rsidDel="00000000" w:rsidP="00000000" w:rsidRDefault="00000000" w:rsidRPr="00000000" w14:paraId="0000019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ficticios; sin acceso administrativo a nodos K3s; dependencias externas sensibles usan mocks/sandboxes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w:t>
            </w:r>
          </w:p>
        </w:tc>
        <w:tc>
          <w:tcPr>
            <w:tcMar>
              <w:top w:w="60.0" w:type="dxa"/>
              <w:left w:w="100.0" w:type="dxa"/>
              <w:bottom w:w="60.0" w:type="dxa"/>
              <w:right w:w="100.0" w:type="dxa"/>
            </w:tcMar>
          </w:tcPr>
          <w:p w:rsidR="00000000" w:rsidDel="00000000" w:rsidP="00000000" w:rsidRDefault="00000000" w:rsidRPr="00000000" w14:paraId="0000019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VM-02 a VM-04</w:t>
            </w:r>
          </w:p>
        </w:tc>
        <w:tc>
          <w:tcPr>
            <w:tcMar>
              <w:top w:w="60.0" w:type="dxa"/>
              <w:left w:w="100.0" w:type="dxa"/>
              <w:bottom w:w="60.0" w:type="dxa"/>
              <w:right w:w="100.0" w:type="dxa"/>
            </w:tcMar>
          </w:tcPr>
          <w:p w:rsidR="00000000" w:rsidDel="00000000" w:rsidP="00000000" w:rsidRDefault="00000000" w:rsidRPr="00000000" w14:paraId="0000019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ficticios con comportamiento similar a Producción; acceso de desarrolladores limitado por RBAC, sin SSH a nodos</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A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Producción</w:t>
            </w:r>
          </w:p>
        </w:tc>
        <w:tc>
          <w:tcPr>
            <w:tcMar>
              <w:top w:w="60.0" w:type="dxa"/>
              <w:left w:w="100.0" w:type="dxa"/>
              <w:bottom w:w="60.0" w:type="dxa"/>
              <w:right w:w="100.0" w:type="dxa"/>
            </w:tcMar>
          </w:tcPr>
          <w:p w:rsidR="00000000" w:rsidDel="00000000" w:rsidP="00000000" w:rsidRDefault="00000000" w:rsidRPr="00000000" w14:paraId="000001A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VM-05 a VM-08</w:t>
            </w:r>
          </w:p>
        </w:tc>
        <w:tc>
          <w:tcPr>
            <w:tcMar>
              <w:top w:w="60.0" w:type="dxa"/>
              <w:left w:w="100.0" w:type="dxa"/>
              <w:bottom w:w="60.0" w:type="dxa"/>
              <w:right w:w="100.0" w:type="dxa"/>
            </w:tcMar>
          </w:tcPr>
          <w:p w:rsidR="00000000" w:rsidDel="00000000" w:rsidP="00000000" w:rsidRDefault="00000000" w:rsidRPr="00000000" w14:paraId="000001A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sensibles; workloads productivos nunca se programan en Workers de QA; cambios solo desde artefacto validado en QA; acceso administrativo restringido vía SSH + VPN</w:t>
            </w:r>
          </w:p>
        </w:tc>
      </w:tr>
    </w:tbl>
    <w:p w:rsidR="00000000" w:rsidDel="00000000" w:rsidP="00000000" w:rsidRDefault="00000000" w:rsidRPr="00000000" w14:paraId="000001A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 Seguridad de infraestructura</w:t>
      </w:r>
    </w:p>
    <w:p w:rsidR="00000000" w:rsidDel="00000000" w:rsidP="00000000" w:rsidRDefault="00000000" w:rsidRPr="00000000" w14:paraId="000001A5">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de defensa por capas (perímetro, red, acceso administrativo, Kubernetes, workloads, secretos, datos, CI/CD, observabilidad), regido por mínimo privilegio, separación de funciones y trazabilidad:</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Persistencia: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PostgreSQL dedicado por microservicio (ADR-022, reforzado con NetworkPolicies de denegación por defecto); documentos/evidencias en MinIO con object lock / WORM (ADR-023), nunca como binarios embebidos en PostgreSQL o MongoDB.</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Secretos:</w:t>
      </w:r>
      <w:r w:rsidDel="00000000" w:rsidR="00000000" w:rsidRPr="00000000">
        <w:rPr>
          <w:rFonts w:ascii="Cardo" w:cs="Cardo" w:eastAsia="Cardo" w:hAnsi="Cardo"/>
          <w:i w:val="0"/>
          <w:iCs w:val="0"/>
          <w:smallCaps w:val="0"/>
          <w:strike w:val="0"/>
          <w:sz w:val="22"/>
          <w:szCs w:val="22"/>
          <w:u w:val="none"/>
          <w:shd w:fill="auto" w:val="clear"/>
          <w:vertAlign w:val="baseline"/>
          <w:rtl w:val="0"/>
        </w:rPr>
        <w:t xml:space="preserve"> HashiCorp Vault como almacén centralizado en tiempo de ejecución (ADR-028); GitHub Secrets limitado a lo estrictamente necesario para CI/CD; credenciales separadas por ambiente, nunca en repositorios Git ni en imágenes Docker. La integración técnica concreta K3s↔Vault queda pendiente de definir.</w:t>
      </w:r>
    </w:p>
    <w:p w:rsidR="00000000" w:rsidDel="00000000" w:rsidP="00000000" w:rsidRDefault="00000000" w:rsidRPr="00000000" w14:paraId="000001A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9.4 CI/CD y promoción de artefactos</w:t>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desarrollador implementa el cambio en DEV mediante Docker Compose.</w:t>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Pruebas locales y push al repositorio.</w:t>
      </w:r>
    </w:p>
    <w:p w:rsidR="00000000" w:rsidDel="00000000" w:rsidP="00000000" w:rsidRDefault="00000000" w:rsidRPr="00000000" w14:paraId="000001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GitHub Actions ejecuta Build &amp; Test y controles de seguridad.</w:t>
      </w:r>
    </w:p>
    <w:p w:rsidR="00000000" w:rsidDel="00000000" w:rsidP="00000000" w:rsidRDefault="00000000" w:rsidRPr="00000000" w14:paraId="000001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Se construye la imagen Docker y se publica en GHCR.</w:t>
      </w:r>
    </w:p>
    <w:p w:rsidR="00000000" w:rsidDel="00000000" w:rsidP="00000000" w:rsidRDefault="00000000" w:rsidRPr="00000000" w14:paraId="000001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artefacto se despliega en QA mediante el runner de QA.</w:t>
      </w:r>
    </w:p>
    <w:p w:rsidR="00000000" w:rsidDel="00000000" w:rsidP="00000000" w:rsidRDefault="00000000" w:rsidRPr="00000000" w14:paraId="000001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QA valida funcionalidad, integración y comportamiento.</w:t>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Una vez aprobado, </w:t>
      </w: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el mismo artefacto/digest</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(nunca una reconstrucción) se promueve a Producción — ADR-029.</w:t>
      </w:r>
    </w:p>
    <w:p w:rsidR="00000000" w:rsidDel="00000000" w:rsidP="00000000" w:rsidRDefault="00000000" w:rsidRPr="00000000" w14:paraId="000001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runner de Producción (separado del de QA, con credenciales y ServiceAccounts independientes — ADR-030) ejecuta el despliegue.</w:t>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Prometheus/Grafana/Loki permiten verificar el comportamiento posterior al despliegue.</w:t>
      </w:r>
    </w:p>
    <w:p w:rsidR="00000000" w:rsidDel="00000000" w:rsidP="00000000" w:rsidRDefault="00000000" w:rsidRPr="00000000" w14:paraId="000001B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microservicio se versiona y promueve de forma independiente; un rollback apunta siempre a un digest previamente conocido.</w:t>
      </w:r>
    </w:p>
    <w:p w:rsidR="00000000" w:rsidDel="00000000" w:rsidP="00000000" w:rsidRDefault="00000000" w:rsidRPr="00000000" w14:paraId="000001B5">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9.5 Observabilidad</w:t>
      </w:r>
    </w:p>
    <w:p w:rsidR="00000000" w:rsidDel="00000000" w:rsidP="00000000" w:rsidRDefault="00000000" w:rsidRPr="00000000" w14:paraId="000001B6">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Prometheus (métricas de infraestructura, Kubernetes y aplicación), Grafana (dashboards), Loki (centralización de logs) y Alertmanager (enrutamiento y agrupación de alertas) — ADR-031. El canal final de notificación de alertas queda abierto a evolución posterior (candidato: Telegram). Aún no hay indicadores de negocio confirmados en el tablero de Grafana, más allá de infraestructura/Kubernetes.</w:t>
      </w:r>
    </w:p>
    <w:p w:rsidR="00000000" w:rsidDel="00000000" w:rsidP="00000000" w:rsidRDefault="00000000" w:rsidRPr="00000000" w14:paraId="000001B7">
      <w:pPr>
        <w:pStyle w:val="Heading2"/>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 Ruta de migración a nube</w:t>
      </w:r>
    </w:p>
    <w:p w:rsidR="00000000" w:rsidDel="00000000" w:rsidP="00000000" w:rsidRDefault="00000000" w:rsidRPr="00000000" w14:paraId="000001B8">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la topología, la configuración de namespaces (</w:t>
      </w:r>
      <w:r w:rsidDel="00000000" w:rsidR="00000000" w:rsidRPr="00000000">
        <w:rPr>
          <w:rFonts w:ascii="Times New Roman" w:cs="Times New Roman" w:eastAsia="Times New Roman" w:hAnsi="Times New Roman"/>
          <w:sz w:val="20"/>
          <w:szCs w:val="20"/>
          <w:shd w:fill="efefef" w:val="clear"/>
          <w:rtl w:val="0"/>
        </w:rPr>
        <w:t xml:space="preserve">platform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messaging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storage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secrets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ingress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shd w:fill="efefef" w:val="clear"/>
          <w:rtl w:val="0"/>
        </w:rPr>
        <w:t xml:space="preserve">observability</w:t>
      </w:r>
      <w:r w:rsidDel="00000000" w:rsidR="00000000" w:rsidRPr="00000000">
        <w:rPr>
          <w:rFonts w:ascii="Times New Roman" w:cs="Times New Roman" w:eastAsia="Times New Roman" w:hAnsi="Times New Roman"/>
          <w:rtl w:val="0"/>
        </w:rPr>
        <w:t xml:space="preserve">) y el despliegue de Traefik, Kafka, MinIO, Vault y las instancias de PostgreSQL/MongoDB están definidos como código (Terraform + Ansible). La migración a GKE + Cloud SQL en Google Cloud se reduce, en principio, a cambiar los módulos de infraestructura de Terraform, sin reescribir los microservicios.</w:t>
      </w:r>
    </w:p>
    <w:p w:rsidR="00000000" w:rsidDel="00000000" w:rsidP="00000000" w:rsidRDefault="00000000" w:rsidRPr="00000000" w14:paraId="000001B9">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Registro de Decisiones de Arquitectura — Sprint 2</w:t>
      </w:r>
    </w:p>
    <w:p w:rsidR="00000000" w:rsidDel="00000000" w:rsidP="00000000" w:rsidRDefault="00000000" w:rsidRPr="00000000" w14:paraId="000001BB">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de ADR — Sprint 2 añade once decisiones (ADR-021 a ADR-031) sobre las veinte ya registradas en el SAD V2 (ADR-001 a ADR-020, de las cuales ADR-019 — mTLS selectivo — y ADR-020 — CQRS para Búsqueda y Matching — permanecen "En evaluación"). Se listan aquí a nivel de resumen; el detalle completo (contexto, alternativas, consecuencias) vive en </w:t>
      </w:r>
      <w:r w:rsidDel="00000000" w:rsidR="00000000" w:rsidRPr="00000000">
        <w:rPr>
          <w:rFonts w:ascii="Times New Roman" w:cs="Times New Roman" w:eastAsia="Times New Roman" w:hAnsi="Times New Roman"/>
          <w:sz w:val="20"/>
          <w:szCs w:val="20"/>
          <w:shd w:fill="efefef" w:val="clear"/>
          <w:rtl w:val="0"/>
        </w:rPr>
        <w:t xml:space="preserve">Sprint 2/ADR-Sprint2-Fixia.docx</w:t>
      </w:r>
      <w:r w:rsidDel="00000000" w:rsidR="00000000" w:rsidRPr="00000000">
        <w:rPr>
          <w:rFonts w:ascii="Times New Roman" w:cs="Times New Roman" w:eastAsia="Times New Roman" w:hAnsi="Times New Roman"/>
          <w:rtl w:val="0"/>
        </w:rPr>
        <w:t xml:space="preserve">.</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1B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w:t>
            </w:r>
          </w:p>
        </w:tc>
        <w:tc>
          <w:tcPr>
            <w:shd w:fill="dce6f1" w:val="clear"/>
            <w:tcMar>
              <w:top w:w="60.0" w:type="dxa"/>
              <w:left w:w="100.0" w:type="dxa"/>
              <w:bottom w:w="60.0" w:type="dxa"/>
              <w:right w:w="100.0" w:type="dxa"/>
            </w:tcMar>
          </w:tcPr>
          <w:p w:rsidR="00000000" w:rsidDel="00000000" w:rsidP="00000000" w:rsidRDefault="00000000" w:rsidRPr="00000000" w14:paraId="000001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shd w:fill="dce6f1" w:val="clear"/>
            <w:tcMar>
              <w:top w:w="60.0" w:type="dxa"/>
              <w:left w:w="100.0" w:type="dxa"/>
              <w:bottom w:w="60.0" w:type="dxa"/>
              <w:right w:w="100.0" w:type="dxa"/>
            </w:tcMar>
          </w:tcPr>
          <w:p w:rsidR="00000000" w:rsidDel="00000000" w:rsidP="00000000" w:rsidRDefault="00000000" w:rsidRPr="00000000" w14:paraId="000001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ADR-021</w:t>
            </w:r>
          </w:p>
        </w:tc>
        <w:tc>
          <w:tcPr>
            <w:tcMar>
              <w:top w:w="60.0" w:type="dxa"/>
              <w:left w:w="100.0" w:type="dxa"/>
              <w:bottom w:w="60.0" w:type="dxa"/>
              <w:right w:w="100.0" w:type="dxa"/>
            </w:tcMar>
          </w:tcPr>
          <w:p w:rsidR="00000000" w:rsidDel="00000000" w:rsidP="00000000" w:rsidRDefault="00000000" w:rsidRPr="00000000" w14:paraId="000001C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21 + Spring Boot como stack por defecto (revisa ADR-012)</w:t>
            </w:r>
          </w:p>
        </w:tc>
        <w:tc>
          <w:tcPr>
            <w:tcMar>
              <w:top w:w="60.0" w:type="dxa"/>
              <w:left w:w="100.0" w:type="dxa"/>
              <w:bottom w:w="60.0" w:type="dxa"/>
              <w:right w:w="100.0" w:type="dxa"/>
            </w:tcMar>
          </w:tcPr>
          <w:p w:rsidR="00000000" w:rsidDel="00000000" w:rsidP="00000000" w:rsidRDefault="00000000" w:rsidRPr="00000000" w14:paraId="000001C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ADR-022</w:t>
            </w:r>
          </w:p>
        </w:tc>
        <w:tc>
          <w:tcPr>
            <w:tcMar>
              <w:top w:w="60.0" w:type="dxa"/>
              <w:left w:w="100.0" w:type="dxa"/>
              <w:bottom w:w="60.0" w:type="dxa"/>
              <w:right w:w="100.0" w:type="dxa"/>
            </w:tcMar>
          </w:tcPr>
          <w:p w:rsidR="00000000" w:rsidDel="00000000" w:rsidP="00000000" w:rsidRDefault="00000000" w:rsidRPr="00000000" w14:paraId="000001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Aislamiento físico de bases de datos relacionales por microservicio</w:t>
            </w:r>
          </w:p>
        </w:tc>
        <w:tc>
          <w:tcPr>
            <w:tcMar>
              <w:top w:w="60.0" w:type="dxa"/>
              <w:left w:w="100.0" w:type="dxa"/>
              <w:bottom w:w="60.0" w:type="dxa"/>
              <w:right w:w="100.0" w:type="dxa"/>
            </w:tcMar>
          </w:tcPr>
          <w:p w:rsidR="00000000" w:rsidDel="00000000" w:rsidP="00000000" w:rsidRDefault="00000000" w:rsidRPr="00000000" w14:paraId="000001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 — tensión residual sin cerrar frente al DD V2</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ADR-023</w:t>
            </w:r>
          </w:p>
        </w:tc>
        <w:tc>
          <w:tcPr>
            <w:tcMar>
              <w:top w:w="60.0" w:type="dxa"/>
              <w:left w:w="100.0" w:type="dxa"/>
              <w:bottom w:w="60.0" w:type="dxa"/>
              <w:right w:w="100.0" w:type="dxa"/>
            </w:tcMar>
          </w:tcPr>
          <w:p w:rsidR="00000000" w:rsidDel="00000000" w:rsidP="00000000" w:rsidRDefault="00000000" w:rsidRPr="00000000" w14:paraId="000001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de objetos inmutables (MinIO, WORM)</w:t>
            </w:r>
          </w:p>
        </w:tc>
        <w:tc>
          <w:tcPr>
            <w:tcMar>
              <w:top w:w="60.0" w:type="dxa"/>
              <w:left w:w="100.0" w:type="dxa"/>
              <w:bottom w:w="60.0" w:type="dxa"/>
              <w:right w:w="100.0" w:type="dxa"/>
            </w:tcMar>
          </w:tcPr>
          <w:p w:rsidR="00000000" w:rsidDel="00000000" w:rsidP="00000000" w:rsidRDefault="00000000" w:rsidRPr="00000000" w14:paraId="000001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ADR-024</w:t>
            </w:r>
          </w:p>
        </w:tc>
        <w:tc>
          <w:tcPr>
            <w:tcMar>
              <w:top w:w="60.0" w:type="dxa"/>
              <w:left w:w="100.0" w:type="dxa"/>
              <w:bottom w:w="60.0" w:type="dxa"/>
              <w:right w:w="100.0" w:type="dxa"/>
            </w:tcMar>
          </w:tcPr>
          <w:p w:rsidR="00000000" w:rsidDel="00000000" w:rsidP="00000000" w:rsidRDefault="00000000" w:rsidRPr="00000000" w14:paraId="000001C9">
            <w:pPr>
              <w:spacing w:after="0" w:lineRule="auto"/>
              <w:rPr>
                <w:rFonts w:ascii="Times New Roman" w:cs="Times New Roman" w:eastAsia="Times New Roman" w:hAnsi="Times New Roman"/>
              </w:rPr>
            </w:pPr>
            <w:r w:rsidDel="00000000" w:rsidR="00000000" w:rsidRPr="00000000">
              <w:rPr>
                <w:rFonts w:ascii="Cardo" w:cs="Cardo" w:eastAsia="Cardo" w:hAnsi="Cardo"/>
                <w:rtl w:val="0"/>
              </w:rPr>
              <w:t xml:space="preserve">Sincronización PostgreSQL↔MongoDB vía Outbox + Thin Events sobre Kafka</w:t>
            </w:r>
          </w:p>
        </w:tc>
        <w:tc>
          <w:tcPr>
            <w:tcMar>
              <w:top w:w="60.0" w:type="dxa"/>
              <w:left w:w="100.0" w:type="dxa"/>
              <w:bottom w:w="60.0" w:type="dxa"/>
              <w:right w:w="100.0" w:type="dxa"/>
            </w:tcMar>
          </w:tcPr>
          <w:p w:rsidR="00000000" w:rsidDel="00000000" w:rsidP="00000000" w:rsidRDefault="00000000" w:rsidRPr="00000000" w14:paraId="000001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ADR-025</w:t>
            </w:r>
          </w:p>
        </w:tc>
        <w:tc>
          <w:tcPr>
            <w:tcMar>
              <w:top w:w="60.0" w:type="dxa"/>
              <w:left w:w="100.0" w:type="dxa"/>
              <w:bottom w:w="60.0" w:type="dxa"/>
              <w:right w:w="100.0" w:type="dxa"/>
            </w:tcMar>
          </w:tcPr>
          <w:p w:rsidR="00000000" w:rsidDel="00000000" w:rsidP="00000000" w:rsidRDefault="00000000" w:rsidRPr="00000000" w14:paraId="000001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Consistencia del flujo de Servicio mediante Saga coreografiada</w:t>
            </w:r>
          </w:p>
        </w:tc>
        <w:tc>
          <w:tcPr>
            <w:tcMar>
              <w:top w:w="60.0" w:type="dxa"/>
              <w:left w:w="100.0" w:type="dxa"/>
              <w:bottom w:w="60.0" w:type="dxa"/>
              <w:right w:w="100.0" w:type="dxa"/>
            </w:tcMar>
          </w:tcPr>
          <w:p w:rsidR="00000000" w:rsidDel="00000000" w:rsidP="00000000" w:rsidRDefault="00000000" w:rsidRPr="00000000" w14:paraId="000001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ADR-026</w:t>
            </w:r>
          </w:p>
        </w:tc>
        <w:tc>
          <w:tcPr>
            <w:tcMar>
              <w:top w:w="60.0" w:type="dxa"/>
              <w:left w:w="100.0" w:type="dxa"/>
              <w:bottom w:w="60.0" w:type="dxa"/>
              <w:right w:w="100.0" w:type="dxa"/>
            </w:tcMar>
          </w:tcPr>
          <w:p w:rsidR="00000000" w:rsidDel="00000000" w:rsidP="00000000" w:rsidRDefault="00000000" w:rsidRPr="00000000" w14:paraId="000001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Topología K3s on-premise con separación física de Workers por ambiente</w:t>
            </w:r>
          </w:p>
        </w:tc>
        <w:tc>
          <w:tcPr>
            <w:tcMar>
              <w:top w:w="60.0" w:type="dxa"/>
              <w:left w:w="100.0" w:type="dxa"/>
              <w:bottom w:w="60.0" w:type="dxa"/>
              <w:right w:w="100.0" w:type="dxa"/>
            </w:tcMar>
          </w:tcPr>
          <w:p w:rsidR="00000000" w:rsidDel="00000000" w:rsidP="00000000" w:rsidRDefault="00000000" w:rsidRPr="00000000" w14:paraId="000001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 — formaliza ADR-016</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ADR-027</w:t>
            </w:r>
          </w:p>
        </w:tc>
        <w:tc>
          <w:tcPr>
            <w:tcMar>
              <w:top w:w="60.0" w:type="dxa"/>
              <w:left w:w="100.0" w:type="dxa"/>
              <w:bottom w:w="60.0" w:type="dxa"/>
              <w:right w:w="100.0" w:type="dxa"/>
            </w:tcMar>
          </w:tcPr>
          <w:p w:rsidR="00000000" w:rsidDel="00000000" w:rsidP="00000000" w:rsidRDefault="00000000" w:rsidRPr="00000000" w14:paraId="000001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Traefik como API Gateway/Ingress único</w:t>
            </w:r>
          </w:p>
        </w:tc>
        <w:tc>
          <w:tcPr>
            <w:tcMar>
              <w:top w:w="60.0" w:type="dxa"/>
              <w:left w:w="100.0" w:type="dxa"/>
              <w:bottom w:w="60.0" w:type="dxa"/>
              <w:right w:w="100.0" w:type="dxa"/>
            </w:tcMar>
          </w:tcPr>
          <w:p w:rsidR="00000000" w:rsidDel="00000000" w:rsidP="00000000" w:rsidRDefault="00000000" w:rsidRPr="00000000" w14:paraId="000001D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 — resuelve la disyuntiva "Kong o Traefik" del SAD V2</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ADR-028</w:t>
            </w:r>
          </w:p>
        </w:tc>
        <w:tc>
          <w:tcPr>
            <w:tcMar>
              <w:top w:w="60.0" w:type="dxa"/>
              <w:left w:w="100.0" w:type="dxa"/>
              <w:bottom w:w="60.0" w:type="dxa"/>
              <w:right w:w="100.0" w:type="dxa"/>
            </w:tcMar>
          </w:tcPr>
          <w:p w:rsidR="00000000" w:rsidDel="00000000" w:rsidP="00000000" w:rsidRDefault="00000000" w:rsidRPr="00000000" w14:paraId="000001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HashiCorp Vault como gestor centralizado de secretos</w:t>
            </w:r>
          </w:p>
        </w:tc>
        <w:tc>
          <w:tcPr>
            <w:tcMar>
              <w:top w:w="60.0" w:type="dxa"/>
              <w:left w:w="100.0" w:type="dxa"/>
              <w:bottom w:w="60.0" w:type="dxa"/>
              <w:right w:w="100.0" w:type="dxa"/>
            </w:tcMar>
          </w:tcPr>
          <w:p w:rsidR="00000000" w:rsidDel="00000000" w:rsidP="00000000" w:rsidRDefault="00000000" w:rsidRPr="00000000" w14:paraId="000001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 — integración técnica pendiente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ADR-029</w:t>
            </w:r>
          </w:p>
        </w:tc>
        <w:tc>
          <w:tcPr>
            <w:tcMar>
              <w:top w:w="60.0" w:type="dxa"/>
              <w:left w:w="100.0" w:type="dxa"/>
              <w:bottom w:w="60.0" w:type="dxa"/>
              <w:right w:w="100.0" w:type="dxa"/>
            </w:tcMar>
          </w:tcPr>
          <w:p w:rsidR="00000000" w:rsidDel="00000000" w:rsidP="00000000" w:rsidRDefault="00000000" w:rsidRPr="00000000" w14:paraId="000001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Promoción de artefactos inmutable por digest</w:t>
            </w:r>
          </w:p>
        </w:tc>
        <w:tc>
          <w:tcPr>
            <w:tcMar>
              <w:top w:w="60.0" w:type="dxa"/>
              <w:left w:w="100.0" w:type="dxa"/>
              <w:bottom w:w="60.0" w:type="dxa"/>
              <w:right w:w="100.0" w:type="dxa"/>
            </w:tcMar>
          </w:tcPr>
          <w:p w:rsidR="00000000" w:rsidDel="00000000" w:rsidP="00000000" w:rsidRDefault="00000000" w:rsidRPr="00000000" w14:paraId="000001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ADR-030</w:t>
            </w:r>
          </w:p>
        </w:tc>
        <w:tc>
          <w:tcPr>
            <w:tcMar>
              <w:top w:w="60.0" w:type="dxa"/>
              <w:left w:w="100.0" w:type="dxa"/>
              <w:bottom w:w="60.0" w:type="dxa"/>
              <w:right w:w="100.0" w:type="dxa"/>
            </w:tcMar>
          </w:tcPr>
          <w:p w:rsidR="00000000" w:rsidDel="00000000" w:rsidP="00000000" w:rsidRDefault="00000000" w:rsidRPr="00000000" w14:paraId="000001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Runners de CI/CD separados por ambiente</w:t>
            </w:r>
          </w:p>
        </w:tc>
        <w:tc>
          <w:tcPr>
            <w:tcMar>
              <w:top w:w="60.0" w:type="dxa"/>
              <w:left w:w="100.0" w:type="dxa"/>
              <w:bottom w:w="60.0" w:type="dxa"/>
              <w:right w:w="100.0" w:type="dxa"/>
            </w:tcMar>
          </w:tcPr>
          <w:p w:rsidR="00000000" w:rsidDel="00000000" w:rsidP="00000000" w:rsidRDefault="00000000" w:rsidRPr="00000000" w14:paraId="000001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 — diseño propuesto, pendiente de verificación operativa</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ADR-031</w:t>
            </w:r>
          </w:p>
        </w:tc>
        <w:tc>
          <w:tcPr>
            <w:tcMar>
              <w:top w:w="60.0" w:type="dxa"/>
              <w:left w:w="100.0" w:type="dxa"/>
              <w:bottom w:w="60.0" w:type="dxa"/>
              <w:right w:w="100.0" w:type="dxa"/>
            </w:tcMar>
          </w:tcPr>
          <w:p w:rsidR="00000000" w:rsidDel="00000000" w:rsidP="00000000" w:rsidRDefault="00000000" w:rsidRPr="00000000" w14:paraId="000001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Observabilidad estándar (Prometheus/Grafana/Loki/Alertmanager)</w:t>
            </w:r>
          </w:p>
        </w:tc>
        <w:tc>
          <w:tcPr>
            <w:tcMar>
              <w:top w:w="60.0" w:type="dxa"/>
              <w:left w:w="100.0" w:type="dxa"/>
              <w:bottom w:w="60.0" w:type="dxa"/>
              <w:right w:w="100.0" w:type="dxa"/>
            </w:tcMar>
          </w:tcPr>
          <w:p w:rsidR="00000000" w:rsidDel="00000000" w:rsidP="00000000" w:rsidRDefault="00000000" w:rsidRPr="00000000" w14:paraId="000001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bl>
    <w:p w:rsidR="00000000" w:rsidDel="00000000" w:rsidP="00000000" w:rsidRDefault="00000000" w:rsidRPr="00000000" w14:paraId="000001E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Style w:val="Heading1"/>
        <w:spacing w:after="140" w:before="28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11. Trazabilidad: Requisitos (SRS V3) → Diseño</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1"/>
          <w:tblHeader w:val="1"/>
        </w:trPr>
        <w:tc>
          <w:tcPr>
            <w:shd w:fill="dce6f1" w:val="clear"/>
            <w:tcMar>
              <w:top w:w="60.0" w:type="dxa"/>
              <w:left w:w="100.0" w:type="dxa"/>
              <w:bottom w:w="60.0" w:type="dxa"/>
              <w:right w:w="100.0" w:type="dxa"/>
            </w:tcMar>
          </w:tcPr>
          <w:p w:rsidR="00000000" w:rsidDel="00000000" w:rsidP="00000000" w:rsidRDefault="00000000" w:rsidRPr="00000000" w14:paraId="000001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SRS V3</w:t>
            </w:r>
          </w:p>
        </w:tc>
        <w:tc>
          <w:tcPr>
            <w:shd w:fill="dce6f1" w:val="clear"/>
            <w:tcMar>
              <w:top w:w="60.0" w:type="dxa"/>
              <w:left w:w="100.0" w:type="dxa"/>
              <w:bottom w:w="60.0" w:type="dxa"/>
              <w:right w:w="100.0" w:type="dxa"/>
            </w:tcMar>
          </w:tcPr>
          <w:p w:rsidR="00000000" w:rsidDel="00000000" w:rsidP="00000000" w:rsidRDefault="00000000" w:rsidRPr="00000000" w14:paraId="000001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w:t>
            </w:r>
          </w:p>
        </w:tc>
        <w:tc>
          <w:tcPr>
            <w:shd w:fill="dce6f1" w:val="clear"/>
            <w:tcMar>
              <w:top w:w="60.0" w:type="dxa"/>
              <w:left w:w="100.0" w:type="dxa"/>
              <w:bottom w:w="60.0" w:type="dxa"/>
              <w:right w:w="100.0" w:type="dxa"/>
            </w:tcMar>
          </w:tcPr>
          <w:p w:rsidR="00000000" w:rsidDel="00000000" w:rsidP="00000000" w:rsidRDefault="00000000" w:rsidRPr="00000000" w14:paraId="000001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Microservicio(s) de diseño</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MF-01 Identidad y acceso</w:t>
            </w:r>
          </w:p>
        </w:tc>
        <w:tc>
          <w:tcPr>
            <w:tcMar>
              <w:top w:w="60.0" w:type="dxa"/>
              <w:left w:w="100.0" w:type="dxa"/>
              <w:bottom w:w="60.0" w:type="dxa"/>
              <w:right w:w="100.0" w:type="dxa"/>
            </w:tcMar>
          </w:tcPr>
          <w:p w:rsidR="00000000" w:rsidDel="00000000" w:rsidP="00000000" w:rsidRDefault="00000000" w:rsidRPr="00000000" w14:paraId="000001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RF-001 a RF-008</w:t>
            </w:r>
          </w:p>
        </w:tc>
        <w:tc>
          <w:tcPr>
            <w:tcMar>
              <w:top w:w="60.0" w:type="dxa"/>
              <w:left w:w="100.0" w:type="dxa"/>
              <w:bottom w:w="60.0" w:type="dxa"/>
              <w:right w:w="100.0" w:type="dxa"/>
            </w:tcMar>
          </w:tcPr>
          <w:p w:rsidR="00000000" w:rsidDel="00000000" w:rsidP="00000000" w:rsidRDefault="00000000" w:rsidRPr="00000000" w14:paraId="000001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ms-usuarios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MF-02 Perfil y verificación</w:t>
            </w:r>
          </w:p>
        </w:tc>
        <w:tc>
          <w:tcPr>
            <w:tcMar>
              <w:top w:w="60.0" w:type="dxa"/>
              <w:left w:w="100.0" w:type="dxa"/>
              <w:bottom w:w="60.0" w:type="dxa"/>
              <w:right w:w="100.0" w:type="dxa"/>
            </w:tcMar>
          </w:tcPr>
          <w:p w:rsidR="00000000" w:rsidDel="00000000" w:rsidP="00000000" w:rsidRDefault="00000000" w:rsidRPr="00000000" w14:paraId="000001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RF-009 a RF-019</w:t>
            </w:r>
          </w:p>
        </w:tc>
        <w:tc>
          <w:tcPr>
            <w:tcMar>
              <w:top w:w="60.0" w:type="dxa"/>
              <w:left w:w="100.0" w:type="dxa"/>
              <w:bottom w:w="60.0" w:type="dxa"/>
              <w:right w:w="100.0" w:type="dxa"/>
            </w:tcMar>
          </w:tcPr>
          <w:p w:rsidR="00000000" w:rsidDel="00000000" w:rsidP="00000000" w:rsidRDefault="00000000" w:rsidRPr="00000000" w14:paraId="000001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ms-tecnicos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MF-03 Descubrimiento y postulación</w:t>
            </w:r>
          </w:p>
        </w:tc>
        <w:tc>
          <w:tcPr>
            <w:tcMar>
              <w:top w:w="60.0" w:type="dxa"/>
              <w:left w:w="100.0" w:type="dxa"/>
              <w:bottom w:w="60.0" w:type="dxa"/>
              <w:right w:w="100.0" w:type="dxa"/>
            </w:tcMar>
          </w:tcPr>
          <w:p w:rsidR="00000000" w:rsidDel="00000000" w:rsidP="00000000" w:rsidRDefault="00000000" w:rsidRPr="00000000" w14:paraId="000001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RF-020 a RF-030</w:t>
            </w:r>
          </w:p>
        </w:tc>
        <w:tc>
          <w:tcPr>
            <w:tcMar>
              <w:top w:w="60.0" w:type="dxa"/>
              <w:left w:w="100.0" w:type="dxa"/>
              <w:bottom w:w="60.0" w:type="dxa"/>
              <w:right w:w="100.0" w:type="dxa"/>
            </w:tcMar>
          </w:tcPr>
          <w:p w:rsidR="00000000" w:rsidDel="00000000" w:rsidP="00000000" w:rsidRDefault="00000000" w:rsidRPr="00000000" w14:paraId="000001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shd w:fill="efefef" w:val="clear"/>
                <w:rtl w:val="0"/>
              </w:rPr>
              <w:t xml:space="preserve">ms-matching-geo</w:t>
            </w:r>
            <w:r w:rsidDel="00000000" w:rsidR="00000000" w:rsidRPr="00000000">
              <w:rPr>
                <w:rFonts w:ascii="Times New Roman" w:cs="Times New Roman" w:eastAsia="Times New Roman" w:hAnsi="Times New Roman"/>
                <w:rtl w:val="0"/>
              </w:rPr>
              <w:t xml:space="preserve"> (parcial)</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MF-04 Cotización y contratación</w:t>
            </w:r>
          </w:p>
        </w:tc>
        <w:tc>
          <w:tcPr>
            <w:tcMar>
              <w:top w:w="60.0" w:type="dxa"/>
              <w:left w:w="100.0" w:type="dxa"/>
              <w:bottom w:w="60.0" w:type="dxa"/>
              <w:right w:w="100.0" w:type="dxa"/>
            </w:tcMar>
          </w:tcPr>
          <w:p w:rsidR="00000000" w:rsidDel="00000000" w:rsidP="00000000" w:rsidRDefault="00000000" w:rsidRPr="00000000" w14:paraId="000001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RF-031 a RF-037, RF-082 a RF-084</w:t>
            </w:r>
          </w:p>
        </w:tc>
        <w:tc>
          <w:tcPr>
            <w:tcMar>
              <w:top w:w="60.0" w:type="dxa"/>
              <w:left w:w="100.0" w:type="dxa"/>
              <w:bottom w:w="60.0" w:type="dxa"/>
              <w:right w:w="100.0" w:type="dxa"/>
            </w:tcMar>
          </w:tcPr>
          <w:p w:rsidR="00000000" w:rsidDel="00000000" w:rsidP="00000000" w:rsidRDefault="00000000" w:rsidRPr="00000000" w14:paraId="000001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MF-05 Comunicación y seguimiento</w:t>
            </w:r>
          </w:p>
        </w:tc>
        <w:tc>
          <w:tcPr>
            <w:tcMar>
              <w:top w:w="60.0" w:type="dxa"/>
              <w:left w:w="100.0" w:type="dxa"/>
              <w:bottom w:w="60.0" w:type="dxa"/>
              <w:right w:w="100.0" w:type="dxa"/>
            </w:tcMar>
          </w:tcPr>
          <w:p w:rsidR="00000000" w:rsidDel="00000000" w:rsidP="00000000" w:rsidRDefault="00000000" w:rsidRPr="00000000" w14:paraId="000001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RF-038 a RF-043</w:t>
            </w:r>
          </w:p>
        </w:tc>
        <w:tc>
          <w:tcPr>
            <w:tcMar>
              <w:top w:w="60.0" w:type="dxa"/>
              <w:left w:w="100.0" w:type="dxa"/>
              <w:bottom w:w="60.0" w:type="dxa"/>
              <w:right w:w="100.0" w:type="dxa"/>
            </w:tcMar>
          </w:tcPr>
          <w:p w:rsidR="00000000" w:rsidDel="00000000" w:rsidP="00000000" w:rsidRDefault="00000000" w:rsidRPr="00000000" w14:paraId="000001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ms-comunicacion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MF-06 Ejecución y cierre</w:t>
            </w:r>
          </w:p>
        </w:tc>
        <w:tc>
          <w:tcPr>
            <w:tcMar>
              <w:top w:w="60.0" w:type="dxa"/>
              <w:left w:w="100.0" w:type="dxa"/>
              <w:bottom w:w="60.0" w:type="dxa"/>
              <w:right w:w="100.0" w:type="dxa"/>
            </w:tcMar>
          </w:tcPr>
          <w:p w:rsidR="00000000" w:rsidDel="00000000" w:rsidP="00000000" w:rsidRDefault="00000000" w:rsidRPr="00000000" w14:paraId="000001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RF-044 a RF-050</w:t>
            </w:r>
          </w:p>
        </w:tc>
        <w:tc>
          <w:tcPr>
            <w:tcMar>
              <w:top w:w="60.0" w:type="dxa"/>
              <w:left w:w="100.0" w:type="dxa"/>
              <w:bottom w:w="60.0" w:type="dxa"/>
              <w:right w:w="100.0" w:type="dxa"/>
            </w:tcMar>
          </w:tcPr>
          <w:p w:rsidR="00000000" w:rsidDel="00000000" w:rsidP="00000000" w:rsidRDefault="00000000" w:rsidRPr="00000000" w14:paraId="000001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MF-07 Reputación e historial</w:t>
            </w:r>
          </w:p>
        </w:tc>
        <w:tc>
          <w:tcPr>
            <w:tcMar>
              <w:top w:w="60.0" w:type="dxa"/>
              <w:left w:w="100.0" w:type="dxa"/>
              <w:bottom w:w="60.0" w:type="dxa"/>
              <w:right w:w="100.0" w:type="dxa"/>
            </w:tcMar>
          </w:tcPr>
          <w:p w:rsidR="00000000" w:rsidDel="00000000" w:rsidP="00000000" w:rsidRDefault="00000000" w:rsidRPr="00000000" w14:paraId="000001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RF-051 a RF-056</w:t>
            </w:r>
          </w:p>
        </w:tc>
        <w:tc>
          <w:tcPr>
            <w:tcMar>
              <w:top w:w="60.0" w:type="dxa"/>
              <w:left w:w="100.0" w:type="dxa"/>
              <w:bottom w:w="60.0" w:type="dxa"/>
              <w:right w:w="100.0" w:type="dxa"/>
            </w:tcMar>
          </w:tcPr>
          <w:p w:rsidR="00000000" w:rsidDel="00000000" w:rsidP="00000000" w:rsidRDefault="00000000" w:rsidRPr="00000000" w14:paraId="000001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ms-servicios</w:t>
            </w:r>
            <w:r w:rsidDel="00000000" w:rsidR="00000000" w:rsidRPr="00000000">
              <w:rPr>
                <w:rFonts w:ascii="Times New Roman" w:cs="Times New Roman" w:eastAsia="Times New Roman" w:hAnsi="Times New Roman"/>
                <w:rtl w:val="0"/>
              </w:rPr>
              <w:t xml:space="preserve"> (acoplado, ver nota de simplificación §3)</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MF-08 Pagos y billetera</w:t>
            </w:r>
          </w:p>
        </w:tc>
        <w:tc>
          <w:tcPr>
            <w:tcMar>
              <w:top w:w="60.0" w:type="dxa"/>
              <w:left w:w="100.0" w:type="dxa"/>
              <w:bottom w:w="60.0" w:type="dxa"/>
              <w:right w:w="100.0" w:type="dxa"/>
            </w:tcMar>
          </w:tcPr>
          <w:p w:rsidR="00000000" w:rsidDel="00000000" w:rsidP="00000000" w:rsidRDefault="00000000" w:rsidRPr="00000000" w14:paraId="000001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RF-057 a RF-073</w:t>
            </w:r>
          </w:p>
        </w:tc>
        <w:tc>
          <w:tcPr>
            <w:tcMar>
              <w:top w:w="60.0" w:type="dxa"/>
              <w:left w:w="100.0" w:type="dxa"/>
              <w:bottom w:w="60.0" w:type="dxa"/>
              <w:right w:w="100.0" w:type="dxa"/>
            </w:tcMar>
          </w:tcPr>
          <w:p w:rsidR="00000000" w:rsidDel="00000000" w:rsidP="00000000" w:rsidRDefault="00000000" w:rsidRPr="00000000" w14:paraId="000001F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efefef" w:val="clear"/>
                <w:rtl w:val="0"/>
              </w:rPr>
              <w:t xml:space="preserve">ms-pagos</w:t>
            </w:r>
            <w:r w:rsidDel="00000000" w:rsidR="00000000" w:rsidRPr="00000000">
              <w:rPr>
                <w:rFonts w:ascii="Times New Roman" w:cs="Times New Roman" w:eastAsia="Times New Roman" w:hAnsi="Times New Roman"/>
                <w:rtl w:val="0"/>
              </w:rPr>
              <w:t xml:space="preserve"> (ver contradicción de modelo de custodia, §13)</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MF-09 Operación y soporte</w:t>
            </w:r>
          </w:p>
        </w:tc>
        <w:tc>
          <w:tcPr>
            <w:tcMar>
              <w:top w:w="60.0" w:type="dxa"/>
              <w:left w:w="100.0" w:type="dxa"/>
              <w:bottom w:w="60.0" w:type="dxa"/>
              <w:right w:w="100.0" w:type="dxa"/>
            </w:tcMar>
          </w:tcPr>
          <w:p w:rsidR="00000000" w:rsidDel="00000000" w:rsidP="00000000" w:rsidRDefault="00000000" w:rsidRPr="00000000" w14:paraId="000001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RF-074 a RF-081</w:t>
            </w:r>
          </w:p>
        </w:tc>
        <w:tc>
          <w:tcPr>
            <w:tcMar>
              <w:top w:w="60.0" w:type="dxa"/>
              <w:left w:w="100.0" w:type="dxa"/>
              <w:bottom w:w="60.0" w:type="dxa"/>
              <w:right w:w="100.0" w:type="dxa"/>
            </w:tcMar>
          </w:tcPr>
          <w:p w:rsidR="00000000" w:rsidDel="00000000" w:rsidP="00000000" w:rsidRDefault="00000000" w:rsidRPr="00000000" w14:paraId="000002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 microservicio propio confirmado en el HLD v5</w:t>
            </w:r>
            <w:r w:rsidDel="00000000" w:rsidR="00000000" w:rsidRPr="00000000">
              <w:rPr>
                <w:rFonts w:ascii="Times New Roman" w:cs="Times New Roman" w:eastAsia="Times New Roman" w:hAnsi="Times New Roman"/>
                <w:rtl w:val="0"/>
              </w:rPr>
              <w:t xml:space="preserve"> — pendiente de asignación explícita (ver §13)</w:t>
            </w:r>
          </w:p>
        </w:tc>
      </w:tr>
    </w:tbl>
    <w:p w:rsidR="00000000" w:rsidDel="00000000" w:rsidP="00000000" w:rsidRDefault="00000000" w:rsidRPr="00000000" w14:paraId="00000201">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Bdr>
          <w:bottom w:color="aaaaaa" w:space="1" w:sz="6" w:val="singl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pStyle w:val="Heading1"/>
        <w:spacing w:after="14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Análisis de Compromisos de Arquitectura (Trade-offs)</w:t>
      </w:r>
    </w:p>
    <w:p w:rsidR="00000000" w:rsidDel="00000000" w:rsidP="00000000" w:rsidRDefault="00000000" w:rsidRPr="00000000" w14:paraId="00000204">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SAD V2 §6 documenta siete compromisos de diseño con su decisión y justificación completas; se listan aquí a título de resumen porque condicionan directamente varias decisiones de este SDD. El detalle completo (drivers en conflicto, mitigación) vive en el SAD V2.</w:t>
      </w:r>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Tolerancia offline vs. simplicidad y consistencia de datos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 se prioriza la tolerancia a fallos del técnico en campo (cola local + validación por timestamp de ocurrencia).</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Autenticación reforzada y auditoría vs. latencia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 se prioriza la seguridad; se mitiga validando JWT en memoria sin reconsultar BD.</w:t>
      </w:r>
    </w:p>
    <w:p w:rsidR="00000000" w:rsidDel="00000000" w:rsidP="00000000" w:rsidRDefault="00000000" w:rsidRPr="00000000" w14:paraId="000002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Encapsulamiento estricto (arquitectura hexagonal) vs. velocidad de implementación inicial</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 se prioriza la mantenibilidad.</w:t>
      </w:r>
    </w:p>
    <w:p w:rsidR="00000000" w:rsidDel="00000000" w:rsidP="00000000" w:rsidRDefault="00000000" w:rsidRPr="00000000" w14:paraId="000002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Inmutabilidad de la bitácora vs. derecho de supresión (Habeas Data)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 se prioriza la trazabilidad inmutable con seudonimización técnica (ADR-008).</w:t>
      </w:r>
    </w:p>
    <w:p w:rsidR="00000000" w:rsidDel="00000000" w:rsidP="00000000" w:rsidRDefault="00000000" w:rsidRPr="00000000" w14:paraId="000002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Minimización y revelación progresiva de datos vs. experiencia del cliente</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 se prioriza la minimización (ADR-009).</w:t>
      </w:r>
    </w:p>
    <w:p w:rsidR="00000000" w:rsidDel="00000000" w:rsidP="00000000" w:rsidRDefault="00000000" w:rsidRPr="00000000" w14:paraId="000002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Persistencia políglota vs. complejidad operativa y consistencia global</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 asumida como parte del diseño de datos (</w:t>
      </w:r>
      <w:hyperlink w:anchor="x6r1k0mf87p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w:t>
        </w:r>
      </w:hyperlink>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2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Aislamiento estricto en contenedores (K3s) vs. overhead de orquestación e infraestructura</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 asumido en el diseño de despliegue (</w:t>
      </w:r>
      <w:hyperlink w:anchor="rpjvlk9txuaf">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§9</w:t>
        </w:r>
      </w:hyperlink>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20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after="200" w:lineRule="auto"/>
        <w:rPr>
          <w:rFonts w:ascii="Times New Roman" w:cs="Times New Roman" w:eastAsia="Times New Roman" w:hAnsi="Times New Roman"/>
        </w:rPr>
      </w:pPr>
      <w:r w:rsidDel="00000000" w:rsidR="00000000" w:rsidRPr="00000000">
        <w:rPr>
          <w:rtl w:val="0"/>
        </w:rPr>
      </w:r>
    </w:p>
    <w:sectPr>
      <w:headerReference r:id="rId8" w:type="default"/>
      <w:footerReference r:id="rId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jc w:val="center"/>
      <w:rPr/>
    </w:pPr>
    <w:r w:rsidDel="00000000" w:rsidR="00000000" w:rsidRPr="00000000">
      <w:rPr>
        <w:color w:val="888888"/>
        <w:sz w:val="16"/>
        <w:szCs w:val="16"/>
        <w:rtl w:val="0"/>
      </w:rPr>
      <w:t xml:space="preserve">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jc w:val="right"/>
      <w:rPr/>
    </w:pPr>
    <w:r w:rsidDel="00000000" w:rsidR="00000000" w:rsidRPr="00000000">
      <w:rPr>
        <w:color w:val="888888"/>
        <w:sz w:val="16"/>
        <w:szCs w:val="16"/>
        <w:rtl w:val="0"/>
      </w:rPr>
      <w:t xml:space="preserve">Fixia — SDD V1 (Sprint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