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27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380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Integrantes: Jhoana Diaz, Yurgen Hoyos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" w:line="264" w:lineRule="auto"/>
        <w:ind w:left="0" w:right="33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505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COMPETENCIAS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8257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831.0" w:type="dxa"/>
        <w:jc w:val="left"/>
        <w:tblInd w:w="1522.0" w:type="dxa"/>
        <w:tblLayout w:type="fixed"/>
        <w:tblLook w:val="0400"/>
      </w:tblPr>
      <w:tblGrid>
        <w:gridCol w:w="4414"/>
        <w:gridCol w:w="4417"/>
        <w:tblGridChange w:id="0">
          <w:tblGrid>
            <w:gridCol w:w="4414"/>
            <w:gridCol w:w="4417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Competencia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#1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Integral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7f7f8" w:val="clear"/>
                <w:rtl w:val="0"/>
              </w:rPr>
              <w:t xml:space="preserve">Proporcionar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7f7f8" w:val="clear"/>
                <w:rtl w:val="0"/>
              </w:rPr>
              <w:t xml:space="preserve"> a los estudiantes los conocimientos, las habilidades y las actitudes necesarias para comprender, evaluar y abordar los problemas ambientales actuales y futuros.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Norma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Enunciado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Contexto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3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fomentar la excelencia académica entre los profesores y promover el uso adecuado de fuentes bibliográficas en la enseñanza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docentes enfrentan el desafío de utilizar adecuadamente las referencias bibliográficas. La falta de habilidades en la gestión de citas puede afectar negativamente la calidad de su investigación y el trabajo de enseñanza - aprendizaje de los docentes, así como su capacidad para respaldar sus argumentos con fuentes confiables.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1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Guías de estilo y manuales de citación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Tutoriales y cursos en línea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Herramientas de gestión de referencias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" w:line="236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Grupos de estudio y comunidades académicas.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39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Revistas y artículos sobre citación académica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Elementos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Evidencias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Reconocer el valor del conocimiento heredado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 conocimiento completo o confuso heredado por nuestros ancestros.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Investigar la fuente de los conocimientos encontrados.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Mencionar y reconocer al autor original.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78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831.0" w:type="dxa"/>
        <w:jc w:val="left"/>
        <w:tblInd w:w="1522.0" w:type="dxa"/>
        <w:tblLayout w:type="fixed"/>
        <w:tblLook w:val="0400"/>
      </w:tblPr>
      <w:tblGrid>
        <w:gridCol w:w="4414"/>
        <w:gridCol w:w="4417"/>
        <w:tblGridChange w:id="0">
          <w:tblGrid>
            <w:gridCol w:w="4414"/>
            <w:gridCol w:w="4417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Fomentar la utilización de fuentes actualizadas y relevantes para la referenciación.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 fuentes bibliográficas actualizadas.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Hacer uso apropiado de las referencias bibliográficas.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Identificar directrices diseñadas por 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American Psychological Association (APA) séptima edición para referencias bibliográficas.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Describir de forma adecuada en formato APA 7ma edición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referencias bibliográficas utilizadas en el trabajo.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Conceptos 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problema ambiental es una situación que amenaza la salud y la calidad de vida de los seres humanos, así como la integridad de los ecosistemas y la diversidad biológica. Estos problemas surgen como resultado de las actividades humanas que ejercen presión sobre los recursos naturales y generan impactos negativos en el medio ambiente.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1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3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Referencia bibliográfica: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3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 o entidad responsable de la creación intelectual de una obra. Puede ser un individuo, un grupo de autores o una organización.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3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Editor: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 o entidad responsable de la edición y publicación de una obra colectiva o compilada por varios autores.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Dirección web que proporciona la ubicación exacta de un recurso en línea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" w:line="23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(Digital Object Identifier): Identificador único y persistente asignado a un recurso digital, como un artículo académico. El DOI proporciona un enlace permanente que permite acceder al recurso incluso si la URL cambia en el futuro.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Habilidades y destrezas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5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Intelectuales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4" w:lineRule="auto"/>
              <w:ind w:left="720"/>
            </w:pPr>
            <w:r w:rsidDel="00000000" w:rsidR="00000000" w:rsidRPr="00000000">
              <w:rPr>
                <w:rtl w:val="0"/>
              </w:rPr>
              <w:t xml:space="preserve">pensamiento critico: capacidad para analizar y evaluar de manera objetiva la informacion relacionada con el problema ambiental.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Físicas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/>
            </w:pPr>
            <w:r w:rsidDel="00000000" w:rsidR="00000000" w:rsidRPr="00000000">
              <w:rPr>
                <w:rtl w:val="0"/>
              </w:rPr>
              <w:t xml:space="preserve">conciencia corporal: sensibilidad y conexion con el entorno fisico, incluyendo la capacidad de apreciar y disfrutar de la naturaleza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Sociales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comunicacion efectiva: habilidad para expresar ideas y opiniones de manera clara y persuasiva, tanto de forma oral como escrita, con nel objetivo de concientizar a otros sobre la importancia del compromiso con el medio ambiente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4" w:top="727" w:left="180" w:right="37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56" w:hanging="1556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76" w:hanging="2276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96" w:hanging="2996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16" w:hanging="3716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36" w:hanging="4436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56" w:hanging="5156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76" w:hanging="5876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96" w:hanging="6596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55" w:hanging="15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75" w:hanging="22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95" w:hanging="29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15" w:hanging="37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35" w:hanging="44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55" w:hanging="51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75" w:hanging="58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95" w:hanging="65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115.0" w:type="dxa"/>
        <w:bottom w:w="0.0" w:type="dxa"/>
        <w:right w:w="62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115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Qr+1mUp0LCwy7NylqjvG2Y7dzg==">CgMxLjAyCGguZ2pkZ3hzOAByITFlRm5ET2loaDc3UVpISllLbzVCanJIenYteXRmRHh2ZQ==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2023-06-09T20:13:00Z</dcterms:created>
  <dc:creator>laurita</dc:creator>
</cp:coreProperties>
</file>