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Pr>
      <w:r>
        <w:rPr>
          <w:rFonts w:ascii="Calibri" w:hAnsi="Calibri"/>
          <w:b/>
          <w:color w:val="102C57"/>
          <w:sz w:val="30"/>
        </w:rPr>
        <w:t>Bitácora de Uso y Aplicación de Inteligencia Artificial (Formato APA v7)</w:t>
      </w:r>
    </w:p>
    <w:p>
      <w:pPr>
        <w:spacing w:before="20" w:after="60" w:line="276" w:lineRule="auto"/>
      </w:pPr>
      <w:r>
        <w:rPr>
          <w:rFonts w:ascii="Calibri" w:hAnsi="Calibri"/>
          <w:b/>
          <w:color w:val="1E1E1E"/>
          <w:sz w:val="19"/>
        </w:rPr>
        <w:t>Actividad 04:</w:t>
      </w:r>
      <w:r>
        <w:rPr>
          <w:rFonts w:ascii="Calibri" w:hAnsi="Calibri"/>
          <w:color w:val="1E1E1E"/>
          <w:sz w:val="19"/>
        </w:rPr>
        <w:t xml:space="preserve"> Correo Institucional Seguro con Postfix y Dovecot</w:t>
      </w:r>
    </w:p>
    <w:p>
      <w:pPr>
        <w:spacing w:before="20" w:after="60" w:line="276" w:lineRule="auto"/>
      </w:pPr>
      <w:r>
        <w:rPr>
          <w:rFonts w:ascii="Calibri" w:hAnsi="Calibri"/>
          <w:b/>
          <w:color w:val="1E1E1E"/>
          <w:sz w:val="19"/>
        </w:rPr>
        <w:t>Estudiante:</w:t>
      </w:r>
      <w:r>
        <w:rPr>
          <w:rFonts w:ascii="Calibri" w:hAnsi="Calibri"/>
          <w:color w:val="1E1E1E"/>
          <w:sz w:val="19"/>
        </w:rPr>
        <w:t xml:space="preserve"> Ketfer Gianella Salazar</w:t>
      </w:r>
    </w:p>
    <w:p>
      <w:pPr>
        <w:spacing w:before="20" w:after="60" w:line="276" w:lineRule="auto"/>
      </w:pPr>
      <w:r>
        <w:rPr>
          <w:rFonts w:ascii="Calibri" w:hAnsi="Calibri"/>
          <w:b/>
          <w:color w:val="1E1E1E"/>
          <w:sz w:val="19"/>
        </w:rPr>
        <w:t>Carrera:</w:t>
      </w:r>
      <w:r>
        <w:rPr>
          <w:rFonts w:ascii="Calibri" w:hAnsi="Calibri"/>
          <w:color w:val="1E1E1E"/>
          <w:sz w:val="19"/>
        </w:rPr>
        <w:t xml:space="preserve"> Ingeniería de Sistemas — Asignatura: Tecnología Web I (SIS-0150)</w:t>
      </w:r>
    </w:p>
    <w:p>
      <w:pPr>
        <w:spacing w:before="20" w:after="60" w:line="276" w:lineRule="auto"/>
      </w:pPr>
      <w:r>
        <w:rPr>
          <w:rFonts w:ascii="Calibri" w:hAnsi="Calibri"/>
          <w:b/>
          <w:color w:val="1E1E1E"/>
          <w:sz w:val="19"/>
        </w:rPr>
        <w:t>Docente Titular:</w:t>
      </w:r>
      <w:r>
        <w:rPr>
          <w:rFonts w:ascii="Calibri" w:hAnsi="Calibri"/>
          <w:color w:val="1E1E1E"/>
          <w:sz w:val="19"/>
        </w:rPr>
        <w:t xml:space="preserve"> M.Sc. Ing. Jimmy Nataniel Requena Llorentty</w:t>
      </w:r>
    </w:p>
    <w:p>
      <w:pPr>
        <w:spacing w:before="20" w:after="60" w:line="276" w:lineRule="auto"/>
      </w:pPr>
      <w:r>
        <w:rPr>
          <w:rFonts w:ascii="Calibri" w:hAnsi="Calibri"/>
          <w:b/>
          <w:color w:val="1E1E1E"/>
          <w:sz w:val="19"/>
        </w:rPr>
        <w:t>Institución:</w:t>
      </w:r>
      <w:r>
        <w:rPr>
          <w:rFonts w:ascii="Calibri" w:hAnsi="Calibri"/>
          <w:color w:val="1E1E1E"/>
          <w:sz w:val="19"/>
        </w:rPr>
        <w:t xml:space="preserve"> Universidad Privada Domingo Savio (UPDS), Sede Santa Cruz de la Sierra</w:t>
      </w:r>
    </w:p>
    <w:p>
      <w:pPr>
        <w:spacing w:before="20" w:after="60" w:line="276" w:lineRule="auto"/>
      </w:pPr>
      <w:r>
        <w:rPr>
          <w:rFonts w:ascii="Calibri" w:hAnsi="Calibri"/>
          <w:b/>
          <w:color w:val="1E1E1E"/>
          <w:sz w:val="19"/>
        </w:rPr>
        <w:t>Fecha de Elaboración:</w:t>
      </w:r>
      <w:r>
        <w:rPr>
          <w:rFonts w:ascii="Calibri" w:hAnsi="Calibri"/>
          <w:color w:val="1E1E1E"/>
          <w:sz w:val="19"/>
        </w:rPr>
        <w:t xml:space="preserve"> 25 de Octubre de 2026</w:t>
      </w:r>
    </w:p>
    <w:p>
      <w:pPr>
        <w:spacing w:before="20" w:after="60" w:line="276" w:lineRule="auto"/>
      </w:pPr>
      <w:r>
        <w:rPr>
          <w:rFonts w:ascii="Calibri" w:hAnsi="Calibri"/>
          <w:b/>
          <w:color w:val="1E1E1E"/>
          <w:sz w:val="19"/>
        </w:rPr>
        <w:t>Repositorio Oficial de Código (GitHub):</w:t>
      </w:r>
    </w:p>
    <w:p>
      <w:pPr>
        <w:spacing w:before="20" w:after="60" w:line="276" w:lineRule="auto"/>
      </w:pPr>
      <w:r>
        <w:rPr>
          <w:rFonts w:ascii="Calibri" w:hAnsi="Calibri"/>
          <w:color w:val="1E1E1E"/>
          <w:sz w:val="19"/>
        </w:rPr>
        <w:t>[https://github.com/Grupo-Kali-Linuxxxx/Correo-institucional-con-Postfix-y-Dovecot](https://github.com/Grupo-Kali-Linuxxxx/Correo-institucional-con-Postfix-y-Dovecot)</w:t>
      </w:r>
    </w:p>
    <w:p>
      <w:pPr>
        <w:spacing w:before="40" w:after="80"/>
      </w:pPr>
      <w:r>
        <w:rPr>
          <w:color w:val="B4C3D7"/>
        </w:rPr>
        <w:t>――――――――――――――――――――――――――――――――――――――――――――――――――――――――――――</w:t>
      </w:r>
    </w:p>
    <w:p>
      <w:pPr>
        <w:keepNext/>
        <w:spacing w:before="220" w:after="60"/>
      </w:pPr>
      <w:r>
        <w:rPr>
          <w:rFonts w:ascii="Calibri" w:hAnsi="Calibri"/>
          <w:b/>
          <w:color w:val="102C57"/>
          <w:sz w:val="25"/>
        </w:rPr>
        <w:t>1. Declaración Ética y Propósito Metodológico</w:t>
      </w:r>
    </w:p>
    <w:p>
      <w:pPr>
        <w:spacing w:before="20" w:after="60" w:line="276" w:lineRule="auto"/>
      </w:pPr>
      <w:r>
        <w:rPr>
          <w:rFonts w:ascii="Calibri" w:hAnsi="Calibri"/>
          <w:color w:val="1E1E1E"/>
          <w:sz w:val="19"/>
        </w:rPr>
        <w:t xml:space="preserve">En cumplimiento del </w:t>
      </w:r>
      <w:r>
        <w:rPr>
          <w:rFonts w:ascii="Calibri" w:hAnsi="Calibri"/>
          <w:i/>
          <w:color w:val="1E1E1E"/>
          <w:sz w:val="19"/>
        </w:rPr>
        <w:t>Reglamento Institucional de Integridad Académica</w:t>
      </w:r>
      <w:r>
        <w:rPr>
          <w:rFonts w:ascii="Calibri" w:hAnsi="Calibri"/>
          <w:color w:val="1E1E1E"/>
          <w:sz w:val="19"/>
        </w:rPr>
        <w:t xml:space="preserve"> de la Universidad Privada Domingo Savio y las directrices del docente de la materia, se declara el uso transparente y reflexivo de herramientas de Inteligencia Artificial generativa (</w:t>
      </w:r>
      <w:r>
        <w:rPr>
          <w:rFonts w:ascii="Calibri" w:hAnsi="Calibri"/>
          <w:b/>
          <w:color w:val="1E1E1E"/>
          <w:sz w:val="19"/>
        </w:rPr>
        <w:t>Antigravity / DeepMind AI Coding Assistant</w:t>
      </w:r>
      <w:r>
        <w:rPr>
          <w:rFonts w:ascii="Calibri" w:hAnsi="Calibri"/>
          <w:color w:val="1E1E1E"/>
          <w:sz w:val="19"/>
        </w:rPr>
        <w:t>) como apoyo para:</w:t>
      </w:r>
    </w:p>
    <w:p>
      <w:pPr>
        <w:spacing w:before="20" w:after="40" w:line="276" w:lineRule="auto"/>
        <w:ind w:left="360"/>
      </w:pPr>
      <w:r>
        <w:rPr>
          <w:rFonts w:ascii="Calibri" w:hAnsi="Calibri"/>
          <w:b/>
          <w:color w:val="102C57"/>
        </w:rPr>
        <w:t xml:space="preserve">1.  </w:t>
      </w:r>
      <w:r>
        <w:rPr>
          <w:rFonts w:ascii="Calibri" w:hAnsi="Calibri"/>
          <w:color w:val="1E1E1E"/>
          <w:sz w:val="19"/>
        </w:rPr>
        <w:t>Análisis forense de cabeceras de correo electrónico e interpretación de parámetros criptográficos DKIM/DMARC.</w:t>
      </w:r>
    </w:p>
    <w:p>
      <w:pPr>
        <w:spacing w:before="20" w:after="40" w:line="276" w:lineRule="auto"/>
        <w:ind w:left="360"/>
      </w:pPr>
      <w:r>
        <w:rPr>
          <w:rFonts w:ascii="Calibri" w:hAnsi="Calibri"/>
          <w:b/>
          <w:color w:val="102C57"/>
        </w:rPr>
        <w:t xml:space="preserve">2.  </w:t>
      </w:r>
      <w:r>
        <w:rPr>
          <w:rFonts w:ascii="Calibri" w:hAnsi="Calibri"/>
          <w:color w:val="1E1E1E"/>
          <w:sz w:val="19"/>
        </w:rPr>
        <w:t>Diseño de la arquitectura de integración de filtros antispam (Rspamd) y antivirus (ClamAV) mediante protocolo Milter.</w:t>
      </w:r>
    </w:p>
    <w:p>
      <w:pPr>
        <w:spacing w:before="20" w:after="40" w:line="276" w:lineRule="auto"/>
        <w:ind w:left="360"/>
      </w:pPr>
      <w:r>
        <w:rPr>
          <w:rFonts w:ascii="Calibri" w:hAnsi="Calibri"/>
          <w:b/>
          <w:color w:val="102C57"/>
        </w:rPr>
        <w:t xml:space="preserve">3.  </w:t>
      </w:r>
      <w:r>
        <w:rPr>
          <w:rFonts w:ascii="Calibri" w:hAnsi="Calibri"/>
          <w:color w:val="1E1E1E"/>
          <w:sz w:val="19"/>
        </w:rPr>
        <w:t>Estructuración formal de la política institucional de correo y del plan estratégico de migración desde servicios gratuitos.</w:t>
      </w:r>
    </w:p>
    <w:p>
      <w:pPr>
        <w:spacing w:before="20" w:after="40" w:line="276" w:lineRule="auto"/>
        <w:ind w:left="360"/>
      </w:pPr>
      <w:r>
        <w:rPr>
          <w:rFonts w:ascii="Calibri" w:hAnsi="Calibri"/>
          <w:b/>
          <w:color w:val="102C57"/>
        </w:rPr>
        <w:t xml:space="preserve">4.  </w:t>
      </w:r>
      <w:r>
        <w:rPr>
          <w:rFonts w:ascii="Calibri" w:hAnsi="Calibri"/>
          <w:color w:val="1E1E1E"/>
          <w:sz w:val="19"/>
        </w:rPr>
        <w:t>Redacción de scripts de automatización documental y generación de presentaciones en formato APA 7.</w:t>
      </w:r>
    </w:p>
    <w:p>
      <w:pPr>
        <w:spacing w:before="20" w:after="60" w:line="276" w:lineRule="auto"/>
      </w:pPr>
      <w:r>
        <w:rPr>
          <w:rFonts w:ascii="Calibri" w:hAnsi="Calibri"/>
          <w:color w:val="1E1E1E"/>
          <w:sz w:val="19"/>
        </w:rPr>
        <w:t>Ningún comando o directiva técnica generada por la IA fue desplegada sin previa validación experimental, análisis de sintaxis y contrastación contra los estándares oficiales RFC de correo electrónico.</w:t>
      </w:r>
    </w:p>
    <w:p>
      <w:pPr>
        <w:spacing w:before="40" w:after="80"/>
      </w:pPr>
      <w:r>
        <w:rPr>
          <w:color w:val="B4C3D7"/>
        </w:rPr>
        <w:t>――――――――――――――――――――――――――――――――――――――――――――――――――――――――――――</w:t>
      </w:r>
    </w:p>
    <w:p>
      <w:pPr>
        <w:keepNext/>
        <w:spacing w:before="220" w:after="60"/>
      </w:pPr>
      <w:r>
        <w:rPr>
          <w:rFonts w:ascii="Calibri" w:hAnsi="Calibri"/>
          <w:b/>
          <w:color w:val="102C57"/>
          <w:sz w:val="25"/>
        </w:rPr>
        <w:t>2. Registro Cronológico de Prompts y Adaptaciones Técnicas</w:t>
      </w:r>
    </w:p>
    <w:p>
      <w:pPr>
        <w:keepNext/>
        <w:spacing w:before="160" w:after="40"/>
      </w:pPr>
      <w:r>
        <w:rPr>
          <w:rFonts w:ascii="Calibri" w:hAnsi="Calibri"/>
          <w:b/>
          <w:color w:val="1E3C69"/>
          <w:sz w:val="21"/>
        </w:rPr>
        <w:t>Registro 1: Análisis Forense de Cabeceras Criptográficas y Alineación DMARC</w:t>
      </w:r>
    </w:p>
    <w:p>
      <w:pPr>
        <w:spacing w:before="20" w:after="40" w:line="276" w:lineRule="auto"/>
        <w:ind w:left="360"/>
      </w:pPr>
      <w:r>
        <w:rPr>
          <w:rFonts w:ascii="Calibri" w:hAnsi="Calibri"/>
          <w:b/>
          <w:color w:val="102C57"/>
        </w:rPr>
        <w:t xml:space="preserve">•  </w:t>
      </w:r>
      <w:r>
        <w:rPr>
          <w:rFonts w:ascii="Calibri" w:hAnsi="Calibri"/>
          <w:b/>
          <w:color w:val="1E1E1E"/>
          <w:sz w:val="19"/>
        </w:rPr>
        <w:t>Fecha y Hora:</w:t>
      </w:r>
      <w:r>
        <w:rPr>
          <w:rFonts w:ascii="Calibri" w:hAnsi="Calibri"/>
          <w:color w:val="1E1E1E"/>
          <w:sz w:val="19"/>
        </w:rPr>
        <w:t xml:space="preserve"> 25/10/2026 04:51:00</w:t>
      </w:r>
    </w:p>
    <w:p>
      <w:pPr>
        <w:spacing w:before="20" w:after="40" w:line="276" w:lineRule="auto"/>
        <w:ind w:left="360"/>
      </w:pPr>
      <w:r>
        <w:rPr>
          <w:rFonts w:ascii="Calibri" w:hAnsi="Calibri"/>
          <w:b/>
          <w:color w:val="102C57"/>
        </w:rPr>
        <w:t xml:space="preserve">•  </w:t>
      </w:r>
      <w:r>
        <w:rPr>
          <w:rFonts w:ascii="Calibri" w:hAnsi="Calibri"/>
          <w:b/>
          <w:color w:val="1E1E1E"/>
          <w:sz w:val="19"/>
        </w:rPr>
        <w:t>Herramienta de IA:</w:t>
      </w:r>
      <w:r>
        <w:rPr>
          <w:rFonts w:ascii="Calibri" w:hAnsi="Calibri"/>
          <w:color w:val="1E1E1E"/>
          <w:sz w:val="19"/>
        </w:rPr>
        <w:t xml:space="preserve"> Antigravity (DeepMind Advanced Coding Agent).</w:t>
      </w:r>
    </w:p>
    <w:p>
      <w:pPr>
        <w:spacing w:before="20" w:after="40" w:line="276" w:lineRule="auto"/>
        <w:ind w:left="360"/>
      </w:pPr>
      <w:r>
        <w:rPr>
          <w:rFonts w:ascii="Calibri" w:hAnsi="Calibri"/>
          <w:b/>
          <w:color w:val="102C57"/>
        </w:rPr>
        <w:t xml:space="preserve">•  </w:t>
      </w:r>
      <w:r>
        <w:rPr>
          <w:rFonts w:ascii="Calibri" w:hAnsi="Calibri"/>
          <w:b/>
          <w:color w:val="1E1E1E"/>
          <w:sz w:val="19"/>
        </w:rPr>
        <w:t>Prompt Enviado:</w:t>
      </w:r>
    </w:p>
    <w:tbl>
      <w:tblPr>
        <w:tblW w:type="auto" w:w="0"/>
        <w:jc w:val="center"/>
        <w:tblLook w:firstColumn="1" w:firstRow="1" w:lastColumn="0" w:lastRow="0" w:noHBand="0" w:noVBand="1" w:val="04A0"/>
      </w:tblPr>
      <w:tblGrid>
        <w:gridCol w:w="10080"/>
      </w:tblGrid>
      <w:tr>
        <w:tc>
          <w:tcPr>
            <w:tcW w:type="dxa" w:w="10080"/>
            <w:shd w:fill="F8FAFC"/>
            <w:tcMar>
              <w:top w:w="60" w:type="dxa"/>
              <w:bottom w:w="60" w:type="dxa"/>
              <w:left w:w="120" w:type="dxa"/>
              <w:right w:w="120" w:type="dxa"/>
            </w:tcMar>
          </w:tcPr>
          <w:p>
            <w:pPr>
              <w:spacing w:before="40" w:after="40"/>
            </w:pPr>
            <w:r>
              <w:rPr>
                <w:rFonts w:ascii="Calibri" w:hAnsi="Calibri"/>
                <w:i/>
                <w:color w:val="3C4655"/>
                <w:sz w:val="18"/>
              </w:rPr>
              <w:t>"Analiza este fragmento real de cabeceras de correo recibido en mail2 desde mail.horizonte.internal: [se pegaron los encabezados con Authentication-Results, Received-SPF y DKIM-Signature]. Explica qué significa cada parámetro de DKIM (a=, c=, d=, s=, bh=, b=) y determina si existe alineación DMARC estricta con el encabezado From: &lt;secretaria@horizonte.internal&gt;."</w:t>
            </w:r>
          </w:p>
        </w:tc>
      </w:tr>
    </w:tbl>
    <w:p>
      <w:pPr>
        <w:spacing w:before="20" w:after="40" w:line="276" w:lineRule="auto"/>
        <w:ind w:left="360"/>
      </w:pPr>
      <w:r>
        <w:rPr>
          <w:rFonts w:ascii="Calibri" w:hAnsi="Calibri"/>
          <w:b/>
          <w:color w:val="102C57"/>
        </w:rPr>
        <w:t xml:space="preserve">•  </w:t>
      </w:r>
      <w:r>
        <w:rPr>
          <w:rFonts w:ascii="Calibri" w:hAnsi="Calibri"/>
          <w:b/>
          <w:color w:val="1E1E1E"/>
          <w:sz w:val="19"/>
        </w:rPr>
        <w:t>Respuesta de la IA:</w:t>
      </w:r>
    </w:p>
    <w:p>
      <w:pPr>
        <w:spacing w:before="20" w:after="60" w:line="276" w:lineRule="auto"/>
      </w:pPr>
      <w:r>
        <w:rPr>
          <w:rFonts w:ascii="Calibri" w:hAnsi="Calibri"/>
          <w:color w:val="1E1E1E"/>
          <w:sz w:val="19"/>
        </w:rPr>
        <w:t xml:space="preserve">La IA desglosó detalladamente el significado de </w:t>
      </w:r>
      <w:r>
        <w:rPr>
          <w:rFonts w:ascii="Consolas" w:hAnsi="Consolas"/>
          <w:color w:val="102C57"/>
          <w:sz w:val="18"/>
        </w:rPr>
        <w:t>rsa-sha256</w:t>
      </w:r>
      <w:r>
        <w:rPr>
          <w:rFonts w:ascii="Calibri" w:hAnsi="Calibri"/>
          <w:color w:val="1E1E1E"/>
          <w:sz w:val="19"/>
        </w:rPr>
        <w:t xml:space="preserve">, la canonización </w:t>
      </w:r>
      <w:r>
        <w:rPr>
          <w:rFonts w:ascii="Consolas" w:hAnsi="Consolas"/>
          <w:color w:val="102C57"/>
          <w:sz w:val="18"/>
        </w:rPr>
        <w:t>relaxed/simple</w:t>
      </w:r>
      <w:r>
        <w:rPr>
          <w:rFonts w:ascii="Calibri" w:hAnsi="Calibri"/>
          <w:color w:val="1E1E1E"/>
          <w:sz w:val="19"/>
        </w:rPr>
        <w:t xml:space="preserve">, el selector </w:t>
      </w:r>
      <w:r>
        <w:rPr>
          <w:rFonts w:ascii="Consolas" w:hAnsi="Consolas"/>
          <w:color w:val="102C57"/>
          <w:sz w:val="18"/>
        </w:rPr>
        <w:t>s=mail</w:t>
      </w:r>
      <w:r>
        <w:rPr>
          <w:rFonts w:ascii="Calibri" w:hAnsi="Calibri"/>
          <w:color w:val="1E1E1E"/>
          <w:sz w:val="19"/>
        </w:rPr>
        <w:t xml:space="preserve"> y los hashes </w:t>
      </w:r>
      <w:r>
        <w:rPr>
          <w:rFonts w:ascii="Consolas" w:hAnsi="Consolas"/>
          <w:color w:val="102C57"/>
          <w:sz w:val="18"/>
        </w:rPr>
        <w:t>bh=</w:t>
      </w:r>
      <w:r>
        <w:rPr>
          <w:rFonts w:ascii="Calibri" w:hAnsi="Calibri"/>
          <w:color w:val="1E1E1E"/>
          <w:sz w:val="19"/>
        </w:rPr>
        <w:t xml:space="preserve"> (cuerpo) y </w:t>
      </w:r>
      <w:r>
        <w:rPr>
          <w:rFonts w:ascii="Consolas" w:hAnsi="Consolas"/>
          <w:color w:val="102C57"/>
          <w:sz w:val="18"/>
        </w:rPr>
        <w:t>b=</w:t>
      </w:r>
      <w:r>
        <w:rPr>
          <w:rFonts w:ascii="Calibri" w:hAnsi="Calibri"/>
          <w:color w:val="1E1E1E"/>
          <w:sz w:val="19"/>
        </w:rPr>
        <w:t xml:space="preserve"> (cabecera). Confirmó que la alineación DMARC es estricta (</w:t>
      </w:r>
      <w:r>
        <w:rPr>
          <w:rFonts w:ascii="Consolas" w:hAnsi="Consolas"/>
          <w:color w:val="102C57"/>
          <w:sz w:val="18"/>
        </w:rPr>
        <w:t>adkim=s</w:t>
      </w:r>
      <w:r>
        <w:rPr>
          <w:rFonts w:ascii="Calibri" w:hAnsi="Calibri"/>
          <w:color w:val="1E1E1E"/>
          <w:sz w:val="19"/>
        </w:rPr>
        <w:t xml:space="preserve">, </w:t>
      </w:r>
      <w:r>
        <w:rPr>
          <w:rFonts w:ascii="Consolas" w:hAnsi="Consolas"/>
          <w:color w:val="102C57"/>
          <w:sz w:val="18"/>
        </w:rPr>
        <w:t>aspf=s</w:t>
      </w:r>
      <w:r>
        <w:rPr>
          <w:rFonts w:ascii="Calibri" w:hAnsi="Calibri"/>
          <w:color w:val="1E1E1E"/>
          <w:sz w:val="19"/>
        </w:rPr>
        <w:t>) porque tanto el dominio del remitente visible (</w:t>
      </w:r>
      <w:r>
        <w:rPr>
          <w:rFonts w:ascii="Consolas" w:hAnsi="Consolas"/>
          <w:color w:val="102C57"/>
          <w:sz w:val="18"/>
        </w:rPr>
        <w:t>From: secretaria@horizonte.internal</w:t>
      </w:r>
      <w:r>
        <w:rPr>
          <w:rFonts w:ascii="Calibri" w:hAnsi="Calibri"/>
          <w:color w:val="1E1E1E"/>
          <w:sz w:val="19"/>
        </w:rPr>
        <w:t>), el envelope (</w:t>
      </w:r>
      <w:r>
        <w:rPr>
          <w:rFonts w:ascii="Consolas" w:hAnsi="Consolas"/>
          <w:color w:val="102C57"/>
          <w:sz w:val="18"/>
        </w:rPr>
        <w:t>MAIL FROM: secretaria@horizonte.internal</w:t>
      </w:r>
      <w:r>
        <w:rPr>
          <w:rFonts w:ascii="Calibri" w:hAnsi="Calibri"/>
          <w:color w:val="1E1E1E"/>
          <w:sz w:val="19"/>
        </w:rPr>
        <w:t>) y el dominio de la firma (</w:t>
      </w:r>
      <w:r>
        <w:rPr>
          <w:rFonts w:ascii="Consolas" w:hAnsi="Consolas"/>
          <w:color w:val="102C57"/>
          <w:sz w:val="18"/>
        </w:rPr>
        <w:t>header.d=horizonte.internal</w:t>
      </w:r>
      <w:r>
        <w:rPr>
          <w:rFonts w:ascii="Calibri" w:hAnsi="Calibri"/>
          <w:color w:val="1E1E1E"/>
          <w:sz w:val="19"/>
        </w:rPr>
        <w:t>) coinciden de forma exacta sin recurrir a subdominios.</w:t>
      </w:r>
    </w:p>
    <w:p>
      <w:pPr>
        <w:spacing w:before="20" w:after="40" w:line="276" w:lineRule="auto"/>
        <w:ind w:left="360"/>
      </w:pPr>
      <w:r>
        <w:rPr>
          <w:rFonts w:ascii="Calibri" w:hAnsi="Calibri"/>
          <w:b/>
          <w:color w:val="102C57"/>
        </w:rPr>
        <w:t xml:space="preserve">•  </w:t>
      </w:r>
      <w:r>
        <w:rPr>
          <w:rFonts w:ascii="Calibri" w:hAnsi="Calibri"/>
          <w:b/>
          <w:color w:val="1E1E1E"/>
          <w:sz w:val="19"/>
        </w:rPr>
        <w:t>Evaluación Crítica y Adaptación del Estudiante:</w:t>
      </w:r>
    </w:p>
    <w:p>
      <w:pPr>
        <w:spacing w:before="20" w:after="60" w:line="276" w:lineRule="auto"/>
      </w:pPr>
      <w:r>
        <w:rPr>
          <w:rFonts w:ascii="Calibri" w:hAnsi="Calibri"/>
          <w:color w:val="1E1E1E"/>
          <w:sz w:val="19"/>
        </w:rPr>
        <w:t xml:space="preserve">Se verificó la exactitud de la explicación comparándola con el RFC 6376 (DKIM) y RFC 7489 (DMARC). Se incorporó al informe técnico una tabla explicativa para la defensa oral, destacando que una alteración de un solo espacio en el cuerpo del correo rompería el hash </w:t>
      </w:r>
      <w:r>
        <w:rPr>
          <w:rFonts w:ascii="Consolas" w:hAnsi="Consolas"/>
          <w:color w:val="102C57"/>
          <w:sz w:val="18"/>
        </w:rPr>
        <w:t>bh=</w:t>
      </w:r>
      <w:r>
        <w:rPr>
          <w:rFonts w:ascii="Calibri" w:hAnsi="Calibri"/>
          <w:color w:val="1E1E1E"/>
          <w:sz w:val="19"/>
        </w:rPr>
        <w:t xml:space="preserve"> invalidando la firma.</w:t>
      </w:r>
    </w:p>
    <w:p>
      <w:pPr>
        <w:spacing w:before="40" w:after="80"/>
      </w:pPr>
      <w:r>
        <w:rPr>
          <w:color w:val="B4C3D7"/>
        </w:rPr>
        <w:t>――――――――――――――――――――――――――――――――――――――――――――――――――――――――――――</w:t>
      </w:r>
    </w:p>
    <w:p>
      <w:pPr>
        <w:keepNext/>
        <w:spacing w:before="160" w:after="40"/>
      </w:pPr>
      <w:r>
        <w:rPr>
          <w:rFonts w:ascii="Calibri" w:hAnsi="Calibri"/>
          <w:b/>
          <w:color w:val="1E3C69"/>
          <w:sz w:val="21"/>
        </w:rPr>
        <w:t>Registro 2: Integración de Rspamd y ClamAV en Postfix (Nivel Estratégico)</w:t>
      </w:r>
    </w:p>
    <w:p>
      <w:pPr>
        <w:spacing w:before="20" w:after="40" w:line="276" w:lineRule="auto"/>
        <w:ind w:left="360"/>
      </w:pPr>
      <w:r>
        <w:rPr>
          <w:rFonts w:ascii="Calibri" w:hAnsi="Calibri"/>
          <w:b/>
          <w:color w:val="102C57"/>
        </w:rPr>
        <w:t xml:space="preserve">•  </w:t>
      </w:r>
      <w:r>
        <w:rPr>
          <w:rFonts w:ascii="Calibri" w:hAnsi="Calibri"/>
          <w:b/>
          <w:color w:val="1E1E1E"/>
          <w:sz w:val="19"/>
        </w:rPr>
        <w:t>Fecha y Hora:</w:t>
      </w:r>
      <w:r>
        <w:rPr>
          <w:rFonts w:ascii="Calibri" w:hAnsi="Calibri"/>
          <w:color w:val="1E1E1E"/>
          <w:sz w:val="19"/>
        </w:rPr>
        <w:t xml:space="preserve"> 25/10/2026 04:52:30</w:t>
      </w:r>
    </w:p>
    <w:p>
      <w:pPr>
        <w:spacing w:before="20" w:after="40" w:line="276" w:lineRule="auto"/>
        <w:ind w:left="360"/>
      </w:pPr>
      <w:r>
        <w:rPr>
          <w:rFonts w:ascii="Calibri" w:hAnsi="Calibri"/>
          <w:b/>
          <w:color w:val="102C57"/>
        </w:rPr>
        <w:t xml:space="preserve">•  </w:t>
      </w:r>
      <w:r>
        <w:rPr>
          <w:rFonts w:ascii="Calibri" w:hAnsi="Calibri"/>
          <w:b/>
          <w:color w:val="1E1E1E"/>
          <w:sz w:val="19"/>
        </w:rPr>
        <w:t>Herramienta de IA:</w:t>
      </w:r>
      <w:r>
        <w:rPr>
          <w:rFonts w:ascii="Calibri" w:hAnsi="Calibri"/>
          <w:color w:val="1E1E1E"/>
          <w:sz w:val="19"/>
        </w:rPr>
        <w:t xml:space="preserve"> Antigravity (DeepMind Advanced Coding Agent).</w:t>
      </w:r>
    </w:p>
    <w:p>
      <w:pPr>
        <w:spacing w:before="20" w:after="40" w:line="276" w:lineRule="auto"/>
        <w:ind w:left="360"/>
      </w:pPr>
      <w:r>
        <w:rPr>
          <w:rFonts w:ascii="Calibri" w:hAnsi="Calibri"/>
          <w:b/>
          <w:color w:val="102C57"/>
        </w:rPr>
        <w:t xml:space="preserve">•  </w:t>
      </w:r>
      <w:r>
        <w:rPr>
          <w:rFonts w:ascii="Calibri" w:hAnsi="Calibri"/>
          <w:b/>
          <w:color w:val="1E1E1E"/>
          <w:sz w:val="19"/>
        </w:rPr>
        <w:t>Prompt Enviado:</w:t>
      </w:r>
    </w:p>
    <w:tbl>
      <w:tblPr>
        <w:tblW w:type="auto" w:w="0"/>
        <w:jc w:val="center"/>
        <w:tblLook w:firstColumn="1" w:firstRow="1" w:lastColumn="0" w:lastRow="0" w:noHBand="0" w:noVBand="1" w:val="04A0"/>
      </w:tblPr>
      <w:tblGrid>
        <w:gridCol w:w="10080"/>
      </w:tblGrid>
      <w:tr>
        <w:tc>
          <w:tcPr>
            <w:tcW w:type="dxa" w:w="10080"/>
            <w:shd w:fill="F8FAFC"/>
            <w:tcMar>
              <w:top w:w="60" w:type="dxa"/>
              <w:bottom w:w="60" w:type="dxa"/>
              <w:left w:w="120" w:type="dxa"/>
              <w:right w:w="120" w:type="dxa"/>
            </w:tcMar>
          </w:tcPr>
          <w:p>
            <w:pPr>
              <w:spacing w:before="40" w:after="40"/>
            </w:pPr>
            <w:r>
              <w:rPr>
                <w:rFonts w:ascii="Calibri" w:hAnsi="Calibri"/>
                <w:i/>
                <w:color w:val="3C4655"/>
                <w:sz w:val="18"/>
              </w:rPr>
              <w:t>"Para la rúbrica de nivel Estratégico de Actividad 4 en Tecnología Web I, se exige investigar y diseñar la arquitectura de filtrado antispam y antivirus con Rspamd y ClamAV en Postfix. Propón el diagrama de flujo, las directivas milter en main.cf y el sistema de puntuación con símbolos y umbrales de rechazo."</w:t>
            </w:r>
          </w:p>
        </w:tc>
      </w:tr>
    </w:tbl>
    <w:p>
      <w:pPr>
        <w:spacing w:before="20" w:after="40" w:line="276" w:lineRule="auto"/>
        <w:ind w:left="360"/>
      </w:pPr>
      <w:r>
        <w:rPr>
          <w:rFonts w:ascii="Calibri" w:hAnsi="Calibri"/>
          <w:b/>
          <w:color w:val="102C57"/>
        </w:rPr>
        <w:t xml:space="preserve">•  </w:t>
      </w:r>
      <w:r>
        <w:rPr>
          <w:rFonts w:ascii="Calibri" w:hAnsi="Calibri"/>
          <w:b/>
          <w:color w:val="1E1E1E"/>
          <w:sz w:val="19"/>
        </w:rPr>
        <w:t>Respuesta de la IA:</w:t>
      </w:r>
    </w:p>
    <w:p>
      <w:pPr>
        <w:spacing w:before="20" w:after="60" w:line="276" w:lineRule="auto"/>
      </w:pPr>
      <w:r>
        <w:rPr>
          <w:rFonts w:ascii="Calibri" w:hAnsi="Calibri"/>
          <w:color w:val="1E1E1E"/>
          <w:sz w:val="19"/>
        </w:rPr>
        <w:t xml:space="preserve">La IA propuso un flujo mediante el socket </w:t>
      </w:r>
      <w:r>
        <w:rPr>
          <w:rFonts w:ascii="Consolas" w:hAnsi="Consolas"/>
          <w:color w:val="102C57"/>
          <w:sz w:val="18"/>
        </w:rPr>
        <w:t>inet:localhost:11332</w:t>
      </w:r>
      <w:r>
        <w:rPr>
          <w:rFonts w:ascii="Calibri" w:hAnsi="Calibri"/>
          <w:color w:val="1E1E1E"/>
          <w:sz w:val="19"/>
        </w:rPr>
        <w:t xml:space="preserve">, detallando las directivas </w:t>
      </w:r>
      <w:r>
        <w:rPr>
          <w:rFonts w:ascii="Consolas" w:hAnsi="Consolas"/>
          <w:color w:val="102C57"/>
          <w:sz w:val="18"/>
        </w:rPr>
        <w:t>smtpd_milters</w:t>
      </w:r>
      <w:r>
        <w:rPr>
          <w:rFonts w:ascii="Calibri" w:hAnsi="Calibri"/>
          <w:color w:val="1E1E1E"/>
          <w:sz w:val="19"/>
        </w:rPr>
        <w:t xml:space="preserve"> y </w:t>
      </w:r>
      <w:r>
        <w:rPr>
          <w:rFonts w:ascii="Consolas" w:hAnsi="Consolas"/>
          <w:color w:val="102C57"/>
          <w:sz w:val="18"/>
        </w:rPr>
        <w:t>non_smtpd_milters</w:t>
      </w:r>
      <w:r>
        <w:rPr>
          <w:rFonts w:ascii="Calibri" w:hAnsi="Calibri"/>
          <w:color w:val="1E1E1E"/>
          <w:sz w:val="19"/>
        </w:rPr>
        <w:t xml:space="preserve">, la integración de ClamAV a través de </w:t>
      </w:r>
      <w:r>
        <w:rPr>
          <w:rFonts w:ascii="Consolas" w:hAnsi="Consolas"/>
          <w:color w:val="102C57"/>
          <w:sz w:val="18"/>
        </w:rPr>
        <w:t>clamd</w:t>
      </w:r>
      <w:r>
        <w:rPr>
          <w:rFonts w:ascii="Calibri" w:hAnsi="Calibri"/>
          <w:color w:val="1E1E1E"/>
          <w:sz w:val="19"/>
        </w:rPr>
        <w:t>, y un esquema de puntuación por símbolos (</w:t>
      </w:r>
      <w:r>
        <w:rPr>
          <w:rFonts w:ascii="Consolas" w:hAnsi="Consolas"/>
          <w:color w:val="102C57"/>
          <w:sz w:val="18"/>
        </w:rPr>
        <w:t>R_SPF_ALLOW</w:t>
      </w:r>
      <w:r>
        <w:rPr>
          <w:rFonts w:ascii="Calibri" w:hAnsi="Calibri"/>
          <w:color w:val="1E1E1E"/>
          <w:sz w:val="19"/>
        </w:rPr>
        <w:t xml:space="preserve">, </w:t>
      </w:r>
      <w:r>
        <w:rPr>
          <w:rFonts w:ascii="Consolas" w:hAnsi="Consolas"/>
          <w:color w:val="102C57"/>
          <w:sz w:val="18"/>
        </w:rPr>
        <w:t>R_DKIM_ALLOW</w:t>
      </w:r>
      <w:r>
        <w:rPr>
          <w:rFonts w:ascii="Calibri" w:hAnsi="Calibri"/>
          <w:color w:val="1E1E1E"/>
          <w:sz w:val="19"/>
        </w:rPr>
        <w:t xml:space="preserve">, </w:t>
      </w:r>
      <w:r>
        <w:rPr>
          <w:rFonts w:ascii="Consolas" w:hAnsi="Consolas"/>
          <w:color w:val="102C57"/>
          <w:sz w:val="18"/>
        </w:rPr>
        <w:t>BAYES_SPAM</w:t>
      </w:r>
      <w:r>
        <w:rPr>
          <w:rFonts w:ascii="Calibri" w:hAnsi="Calibri"/>
          <w:color w:val="1E1E1E"/>
          <w:sz w:val="19"/>
        </w:rPr>
        <w:t>) con umbrales de 6.0 (marcar como spam) y 11.0 (rechazo en sesión SMTP).</w:t>
      </w:r>
    </w:p>
    <w:p>
      <w:pPr>
        <w:spacing w:before="20" w:after="40" w:line="276" w:lineRule="auto"/>
        <w:ind w:left="360"/>
      </w:pPr>
      <w:r>
        <w:rPr>
          <w:rFonts w:ascii="Calibri" w:hAnsi="Calibri"/>
          <w:b/>
          <w:color w:val="102C57"/>
        </w:rPr>
        <w:t xml:space="preserve">•  </w:t>
      </w:r>
      <w:r>
        <w:rPr>
          <w:rFonts w:ascii="Calibri" w:hAnsi="Calibri"/>
          <w:b/>
          <w:color w:val="1E1E1E"/>
          <w:sz w:val="19"/>
        </w:rPr>
        <w:t>Evaluación Crítica y Adaptación del Estudiante:</w:t>
      </w:r>
    </w:p>
    <w:p>
      <w:pPr>
        <w:spacing w:before="20" w:after="60" w:line="276" w:lineRule="auto"/>
      </w:pPr>
      <w:r>
        <w:rPr>
          <w:rFonts w:ascii="Calibri" w:hAnsi="Calibri"/>
          <w:color w:val="1E1E1E"/>
          <w:sz w:val="19"/>
        </w:rPr>
        <w:t>Se refinó la configuración para contemplar el comportamiento de Postfix ante fallos del milter (</w:t>
      </w:r>
      <w:r>
        <w:rPr>
          <w:rFonts w:ascii="Consolas" w:hAnsi="Consolas"/>
          <w:color w:val="102C57"/>
          <w:sz w:val="18"/>
        </w:rPr>
        <w:t>milter_default_action = accept</w:t>
      </w:r>
      <w:r>
        <w:rPr>
          <w:rFonts w:ascii="Calibri" w:hAnsi="Calibri"/>
          <w:color w:val="1E1E1E"/>
          <w:sz w:val="19"/>
        </w:rPr>
        <w:t>), evitando que la caída temporal de Rspamd bloquee por completo el flujo de correos legítimos del colegio.</w:t>
      </w:r>
    </w:p>
    <w:p>
      <w:pPr>
        <w:spacing w:before="40" w:after="80"/>
      </w:pPr>
      <w:r>
        <w:rPr>
          <w:color w:val="B4C3D7"/>
        </w:rPr>
        <w:t>――――――――――――――――――――――――――――――――――――――――――――――――――――――――――――</w:t>
      </w:r>
    </w:p>
    <w:p>
      <w:pPr>
        <w:keepNext/>
        <w:spacing w:before="160" w:after="40"/>
      </w:pPr>
      <w:r>
        <w:rPr>
          <w:rFonts w:ascii="Calibri" w:hAnsi="Calibri"/>
          <w:b/>
          <w:color w:val="1E3C69"/>
          <w:sz w:val="21"/>
        </w:rPr>
        <w:t>Registro 3: Plan Estratégico de Migración desde Cuentas Gratuitas (Nivel Estratégico)</w:t>
      </w:r>
    </w:p>
    <w:p>
      <w:pPr>
        <w:spacing w:before="20" w:after="40" w:line="276" w:lineRule="auto"/>
        <w:ind w:left="360"/>
      </w:pPr>
      <w:r>
        <w:rPr>
          <w:rFonts w:ascii="Calibri" w:hAnsi="Calibri"/>
          <w:b/>
          <w:color w:val="102C57"/>
        </w:rPr>
        <w:t xml:space="preserve">•  </w:t>
      </w:r>
      <w:r>
        <w:rPr>
          <w:rFonts w:ascii="Calibri" w:hAnsi="Calibri"/>
          <w:b/>
          <w:color w:val="1E1E1E"/>
          <w:sz w:val="19"/>
        </w:rPr>
        <w:t>Fecha y Hora:</w:t>
      </w:r>
      <w:r>
        <w:rPr>
          <w:rFonts w:ascii="Calibri" w:hAnsi="Calibri"/>
          <w:color w:val="1E1E1E"/>
          <w:sz w:val="19"/>
        </w:rPr>
        <w:t xml:space="preserve"> 25/10/2026 04:53:15</w:t>
      </w:r>
    </w:p>
    <w:p>
      <w:pPr>
        <w:spacing w:before="20" w:after="40" w:line="276" w:lineRule="auto"/>
        <w:ind w:left="360"/>
      </w:pPr>
      <w:r>
        <w:rPr>
          <w:rFonts w:ascii="Calibri" w:hAnsi="Calibri"/>
          <w:b/>
          <w:color w:val="102C57"/>
        </w:rPr>
        <w:t xml:space="preserve">•  </w:t>
      </w:r>
      <w:r>
        <w:rPr>
          <w:rFonts w:ascii="Calibri" w:hAnsi="Calibri"/>
          <w:b/>
          <w:color w:val="1E1E1E"/>
          <w:sz w:val="19"/>
        </w:rPr>
        <w:t>Herramienta de IA:</w:t>
      </w:r>
      <w:r>
        <w:rPr>
          <w:rFonts w:ascii="Calibri" w:hAnsi="Calibri"/>
          <w:color w:val="1E1E1E"/>
          <w:sz w:val="19"/>
        </w:rPr>
        <w:t xml:space="preserve"> Antigravity (DeepMind Advanced Coding Agent).</w:t>
      </w:r>
    </w:p>
    <w:p>
      <w:pPr>
        <w:spacing w:before="20" w:after="40" w:line="276" w:lineRule="auto"/>
        <w:ind w:left="360"/>
      </w:pPr>
      <w:r>
        <w:rPr>
          <w:rFonts w:ascii="Calibri" w:hAnsi="Calibri"/>
          <w:b/>
          <w:color w:val="102C57"/>
        </w:rPr>
        <w:t xml:space="preserve">•  </w:t>
      </w:r>
      <w:r>
        <w:rPr>
          <w:rFonts w:ascii="Calibri" w:hAnsi="Calibri"/>
          <w:b/>
          <w:color w:val="1E1E1E"/>
          <w:sz w:val="19"/>
        </w:rPr>
        <w:t>Prompt Enviado:</w:t>
      </w:r>
    </w:p>
    <w:tbl>
      <w:tblPr>
        <w:tblW w:type="auto" w:w="0"/>
        <w:jc w:val="center"/>
        <w:tblLook w:firstColumn="1" w:firstRow="1" w:lastColumn="0" w:lastRow="0" w:noHBand="0" w:noVBand="1" w:val="04A0"/>
      </w:tblPr>
      <w:tblGrid>
        <w:gridCol w:w="10080"/>
      </w:tblGrid>
      <w:tr>
        <w:tc>
          <w:tcPr>
            <w:tcW w:type="dxa" w:w="10080"/>
            <w:shd w:fill="F8FAFC"/>
            <w:tcMar>
              <w:top w:w="60" w:type="dxa"/>
              <w:bottom w:w="60" w:type="dxa"/>
              <w:left w:w="120" w:type="dxa"/>
              <w:right w:w="120" w:type="dxa"/>
            </w:tcMar>
          </w:tcPr>
          <w:p>
            <w:pPr>
              <w:spacing w:before="40" w:after="40"/>
            </w:pPr>
            <w:r>
              <w:rPr>
                <w:rFonts w:ascii="Calibri" w:hAnsi="Calibri"/>
                <w:i/>
                <w:color w:val="3C4655"/>
                <w:sz w:val="18"/>
              </w:rPr>
              <w:t>"Diseña un plan de migración corporativo por fases para una escuela de 60 funcionarios que actualmente usa cuentas personales de Gmail/Hotmail hacia un servidor propio con Postfix y Dovecot. Incluye duración estimada, tareas técnicas con imapsync, período de convivencia y estrategia para evitar pérdida de correos."</w:t>
            </w:r>
          </w:p>
        </w:tc>
      </w:tr>
    </w:tbl>
    <w:p>
      <w:pPr>
        <w:spacing w:before="20" w:after="40" w:line="276" w:lineRule="auto"/>
        <w:ind w:left="360"/>
      </w:pPr>
      <w:r>
        <w:rPr>
          <w:rFonts w:ascii="Calibri" w:hAnsi="Calibri"/>
          <w:b/>
          <w:color w:val="102C57"/>
        </w:rPr>
        <w:t xml:space="preserve">•  </w:t>
      </w:r>
      <w:r>
        <w:rPr>
          <w:rFonts w:ascii="Calibri" w:hAnsi="Calibri"/>
          <w:b/>
          <w:color w:val="1E1E1E"/>
          <w:sz w:val="19"/>
        </w:rPr>
        <w:t>Respuesta de la IA:</w:t>
      </w:r>
    </w:p>
    <w:p>
      <w:pPr>
        <w:spacing w:before="20" w:after="60" w:line="276" w:lineRule="auto"/>
      </w:pPr>
      <w:r>
        <w:rPr>
          <w:rFonts w:ascii="Calibri" w:hAnsi="Calibri"/>
          <w:color w:val="1E1E1E"/>
          <w:sz w:val="19"/>
        </w:rPr>
        <w:t xml:space="preserve">La IA estructuró un plan en 6 fases a lo largo de 45 días: 1) Inventario y aprovisionamiento, 2) Publicación y registros DNS, 3) Capacitación y clientes de correo, 4) Migración histórica con </w:t>
      </w:r>
      <w:r>
        <w:rPr>
          <w:rFonts w:ascii="Consolas" w:hAnsi="Consolas"/>
          <w:color w:val="102C57"/>
          <w:sz w:val="18"/>
        </w:rPr>
        <w:t>imapsync</w:t>
      </w:r>
      <w:r>
        <w:rPr>
          <w:rFonts w:ascii="Calibri" w:hAnsi="Calibri"/>
          <w:color w:val="1E1E1E"/>
          <w:sz w:val="19"/>
        </w:rPr>
        <w:t>, 5) Convivencia con reenvío y respuesta automática, y 6) Desconexión y corte definitivo.</w:t>
      </w:r>
    </w:p>
    <w:p>
      <w:pPr>
        <w:spacing w:before="20" w:after="40" w:line="276" w:lineRule="auto"/>
        <w:ind w:left="360"/>
      </w:pPr>
      <w:r>
        <w:rPr>
          <w:rFonts w:ascii="Calibri" w:hAnsi="Calibri"/>
          <w:b/>
          <w:color w:val="102C57"/>
        </w:rPr>
        <w:t xml:space="preserve">•  </w:t>
      </w:r>
      <w:r>
        <w:rPr>
          <w:rFonts w:ascii="Calibri" w:hAnsi="Calibri"/>
          <w:b/>
          <w:color w:val="1E1E1E"/>
          <w:sz w:val="19"/>
        </w:rPr>
        <w:t>Evaluación Crítica y Adaptación del Estudiante:</w:t>
      </w:r>
    </w:p>
    <w:p>
      <w:pPr>
        <w:spacing w:before="20" w:after="60" w:line="276" w:lineRule="auto"/>
      </w:pPr>
      <w:r>
        <w:rPr>
          <w:rFonts w:ascii="Calibri" w:hAnsi="Calibri"/>
          <w:color w:val="1E1E1E"/>
          <w:sz w:val="19"/>
        </w:rPr>
        <w:t>Se adaptaron los plazos a la realidad del calendario escolar cruceño, enfatizando la importancia de capacitaciones presenciales para docentes con menor familiaridad técnica y la distribución del certificado de la CA institucional para evitar advertencias de seguridad en Thunderbird y dispositivos Android/iOS.</w:t>
      </w:r>
    </w:p>
    <w:p>
      <w:pPr>
        <w:spacing w:before="40" w:after="80"/>
      </w:pPr>
      <w:r>
        <w:rPr>
          <w:color w:val="B4C3D7"/>
        </w:rPr>
        <w:t>――――――――――――――――――――――――――――――――――――――――――――――――――――――――――――</w:t>
      </w:r>
    </w:p>
    <w:p>
      <w:pPr>
        <w:keepNext/>
        <w:spacing w:before="220" w:after="60"/>
      </w:pPr>
      <w:r>
        <w:rPr>
          <w:rFonts w:ascii="Calibri" w:hAnsi="Calibri"/>
          <w:b/>
          <w:color w:val="102C57"/>
          <w:sz w:val="25"/>
        </w:rPr>
        <w:t>3. Matriz de Síntesis del Aporte Humano vs. Aporte de IA</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60"/>
        <w:gridCol w:w="3360"/>
        <w:gridCol w:w="3360"/>
      </w:tblGrid>
      <w:tr>
        <w:trPr>
          <w:cantSplit/>
          <w:tblHeader/>
        </w:trPr>
        <w:tc>
          <w:tcPr>
            <w:tcW w:type="dxa" w:w="3360"/>
            <w:shd w:fill="102C57"/>
            <w:tcMar>
              <w:top w:w="80" w:type="dxa"/>
              <w:bottom w:w="80" w:type="dxa"/>
              <w:left w:w="100" w:type="dxa"/>
              <w:right w:w="100" w:type="dxa"/>
            </w:tcMar>
          </w:tcPr>
          <w:p>
            <w:pPr>
              <w:spacing w:before="40" w:after="40"/>
            </w:pPr>
            <w:r>
              <w:rPr>
                <w:rFonts w:ascii="Calibri" w:hAnsi="Calibri"/>
                <w:b/>
                <w:color w:val="FFFFFF"/>
                <w:sz w:val="18"/>
              </w:rPr>
              <w:t>Componente del Proyecto</w:t>
            </w:r>
          </w:p>
        </w:tc>
        <w:tc>
          <w:tcPr>
            <w:tcW w:type="dxa" w:w="3360"/>
            <w:shd w:fill="102C57"/>
            <w:tcMar>
              <w:top w:w="80" w:type="dxa"/>
              <w:bottom w:w="80" w:type="dxa"/>
              <w:left w:w="100" w:type="dxa"/>
              <w:right w:w="100" w:type="dxa"/>
            </w:tcMar>
          </w:tcPr>
          <w:p>
            <w:pPr>
              <w:spacing w:before="40" w:after="40"/>
            </w:pPr>
            <w:r>
              <w:rPr>
                <w:rFonts w:ascii="Calibri" w:hAnsi="Calibri"/>
                <w:b/>
                <w:color w:val="FFFFFF"/>
                <w:sz w:val="18"/>
              </w:rPr>
              <w:t>Contribución de la Inteligencia Artificial</w:t>
            </w:r>
          </w:p>
        </w:tc>
        <w:tc>
          <w:tcPr>
            <w:tcW w:type="dxa" w:w="3360"/>
            <w:shd w:fill="102C57"/>
            <w:tcMar>
              <w:top w:w="80" w:type="dxa"/>
              <w:bottom w:w="80" w:type="dxa"/>
              <w:left w:w="100" w:type="dxa"/>
              <w:right w:w="100" w:type="dxa"/>
            </w:tcMar>
          </w:tcPr>
          <w:p>
            <w:pPr>
              <w:spacing w:before="40" w:after="40"/>
            </w:pPr>
            <w:r>
              <w:rPr>
                <w:rFonts w:ascii="Calibri" w:hAnsi="Calibri"/>
                <w:b/>
                <w:color w:val="FFFFFF"/>
                <w:sz w:val="18"/>
              </w:rPr>
              <w:t>Validación, Ajuste y Ejecución por el Estudiante</w:t>
            </w:r>
          </w:p>
        </w:tc>
      </w:tr>
      <w:tr>
        <w:trPr>
          <w:cantSplit/>
        </w:trPr>
        <w:tc>
          <w:tcPr>
            <w:tcW w:type="dxa" w:w="3360"/>
            <w:shd w:fill="FFFFFF"/>
            <w:tcMar>
              <w:top w:w="60" w:type="dxa"/>
              <w:bottom w:w="60" w:type="dxa"/>
              <w:left w:w="100" w:type="dxa"/>
              <w:right w:w="100" w:type="dxa"/>
            </w:tcMar>
          </w:tcPr>
          <w:p>
            <w:pPr>
              <w:spacing w:before="20" w:after="40" w:line="264" w:lineRule="auto"/>
            </w:pPr>
            <w:r>
              <w:rPr>
                <w:rFonts w:ascii="Calibri" w:hAnsi="Calibri"/>
                <w:color w:val="1E1E1E"/>
                <w:sz w:val="17"/>
              </w:rPr>
              <w:t>---</w:t>
            </w:r>
          </w:p>
        </w:tc>
        <w:tc>
          <w:tcPr>
            <w:tcW w:type="dxa" w:w="3360"/>
            <w:shd w:fill="FFFFFF"/>
            <w:tcMar>
              <w:top w:w="60" w:type="dxa"/>
              <w:bottom w:w="60" w:type="dxa"/>
              <w:left w:w="100" w:type="dxa"/>
              <w:right w:w="100" w:type="dxa"/>
            </w:tcMar>
          </w:tcPr>
          <w:p>
            <w:pPr>
              <w:spacing w:before="20" w:after="40" w:line="264" w:lineRule="auto"/>
            </w:pPr>
            <w:r>
              <w:rPr>
                <w:rFonts w:ascii="Calibri" w:hAnsi="Calibri"/>
                <w:color w:val="1E1E1E"/>
                <w:sz w:val="17"/>
              </w:rPr>
              <w:t>---</w:t>
            </w:r>
          </w:p>
        </w:tc>
        <w:tc>
          <w:tcPr>
            <w:tcW w:type="dxa" w:w="3360"/>
            <w:shd w:fill="FFFFFF"/>
            <w:tcMar>
              <w:top w:w="60" w:type="dxa"/>
              <w:bottom w:w="60" w:type="dxa"/>
              <w:left w:w="100" w:type="dxa"/>
              <w:right w:w="100" w:type="dxa"/>
            </w:tcMar>
          </w:tcPr>
          <w:p>
            <w:pPr>
              <w:spacing w:before="20" w:after="40" w:line="264" w:lineRule="auto"/>
            </w:pPr>
            <w:r>
              <w:rPr>
                <w:rFonts w:ascii="Calibri" w:hAnsi="Calibri"/>
                <w:color w:val="1E1E1E"/>
                <w:sz w:val="17"/>
              </w:rPr>
              <w:t>---</w:t>
            </w:r>
          </w:p>
        </w:tc>
      </w:tr>
      <w:tr>
        <w:trPr>
          <w:cantSplit/>
        </w:trPr>
        <w:tc>
          <w:tcPr>
            <w:tcW w:type="dxa" w:w="3360"/>
            <w:shd w:fill="F8FAFC"/>
            <w:tcMar>
              <w:top w:w="60" w:type="dxa"/>
              <w:bottom w:w="60" w:type="dxa"/>
              <w:left w:w="100" w:type="dxa"/>
              <w:right w:w="100" w:type="dxa"/>
            </w:tcMar>
          </w:tcPr>
          <w:p>
            <w:pPr>
              <w:spacing w:before="20" w:after="40" w:line="264" w:lineRule="auto"/>
            </w:pPr>
            <w:r>
              <w:rPr>
                <w:rFonts w:ascii="Calibri" w:hAnsi="Calibri"/>
                <w:b/>
                <w:color w:val="1E1E1E"/>
                <w:sz w:val="17"/>
              </w:rPr>
              <w:t>Configuración de Postfix y Dovecot</w:t>
            </w:r>
          </w:p>
        </w:tc>
        <w:tc>
          <w:tcPr>
            <w:tcW w:type="dxa" w:w="3360"/>
            <w:shd w:fill="F8FAFC"/>
            <w:tcMar>
              <w:top w:w="60" w:type="dxa"/>
              <w:bottom w:w="60" w:type="dxa"/>
              <w:left w:w="100" w:type="dxa"/>
              <w:right w:w="100" w:type="dxa"/>
            </w:tcMar>
          </w:tcPr>
          <w:p>
            <w:pPr>
              <w:spacing w:before="20" w:after="40" w:line="264" w:lineRule="auto"/>
            </w:pPr>
            <w:r>
              <w:rPr>
                <w:rFonts w:ascii="Calibri" w:hAnsi="Calibri"/>
                <w:color w:val="1E1E1E"/>
                <w:sz w:val="17"/>
              </w:rPr>
              <w:t xml:space="preserve">Sugerencia de parámetros de cifrado TLS y sintaxis de directivas </w:t>
            </w:r>
            <w:r>
              <w:rPr>
                <w:rFonts w:ascii="Consolas" w:hAnsi="Consolas"/>
                <w:color w:val="102C57"/>
                <w:sz w:val="16"/>
              </w:rPr>
              <w:t>submission</w:t>
            </w:r>
            <w:r>
              <w:rPr>
                <w:rFonts w:ascii="Calibri" w:hAnsi="Calibri"/>
                <w:color w:val="1E1E1E"/>
                <w:sz w:val="17"/>
              </w:rPr>
              <w:t xml:space="preserve"> en </w:t>
            </w:r>
            <w:r>
              <w:rPr>
                <w:rFonts w:ascii="Consolas" w:hAnsi="Consolas"/>
                <w:color w:val="102C57"/>
                <w:sz w:val="16"/>
              </w:rPr>
              <w:t>master.cf</w:t>
            </w:r>
            <w:r>
              <w:rPr>
                <w:rFonts w:ascii="Calibri" w:hAnsi="Calibri"/>
                <w:color w:val="1E1E1E"/>
                <w:sz w:val="17"/>
              </w:rPr>
              <w:t>.</w:t>
            </w:r>
          </w:p>
        </w:tc>
        <w:tc>
          <w:tcPr>
            <w:tcW w:type="dxa" w:w="3360"/>
            <w:shd w:fill="F8FAFC"/>
            <w:tcMar>
              <w:top w:w="60" w:type="dxa"/>
              <w:bottom w:w="60" w:type="dxa"/>
              <w:left w:w="100" w:type="dxa"/>
              <w:right w:w="100" w:type="dxa"/>
            </w:tcMar>
          </w:tcPr>
          <w:p>
            <w:pPr>
              <w:spacing w:before="20" w:after="40" w:line="264" w:lineRule="auto"/>
            </w:pPr>
            <w:r>
              <w:rPr>
                <w:rFonts w:ascii="Calibri" w:hAnsi="Calibri"/>
                <w:color w:val="1E1E1E"/>
                <w:sz w:val="17"/>
              </w:rPr>
              <w:t>Edición directa en los contenedores, prueba de autenticación SASL, verificación de relé cerrado y resolución de conflictos de puertos.</w:t>
            </w:r>
          </w:p>
        </w:tc>
      </w:tr>
      <w:tr>
        <w:trPr>
          <w:cantSplit/>
        </w:trPr>
        <w:tc>
          <w:tcPr>
            <w:tcW w:type="dxa" w:w="3360"/>
            <w:shd w:fill="FFFFFF"/>
            <w:tcMar>
              <w:top w:w="60" w:type="dxa"/>
              <w:bottom w:w="60" w:type="dxa"/>
              <w:left w:w="100" w:type="dxa"/>
              <w:right w:w="100" w:type="dxa"/>
            </w:tcMar>
          </w:tcPr>
          <w:p>
            <w:pPr>
              <w:spacing w:before="20" w:after="40" w:line="264" w:lineRule="auto"/>
            </w:pPr>
            <w:r>
              <w:rPr>
                <w:rFonts w:ascii="Calibri" w:hAnsi="Calibri"/>
                <w:b/>
                <w:color w:val="1E1E1E"/>
                <w:sz w:val="17"/>
              </w:rPr>
              <w:t>Registros Criptográficos DNS</w:t>
            </w:r>
          </w:p>
        </w:tc>
        <w:tc>
          <w:tcPr>
            <w:tcW w:type="dxa" w:w="3360"/>
            <w:shd w:fill="FFFFFF"/>
            <w:tcMar>
              <w:top w:w="60" w:type="dxa"/>
              <w:bottom w:w="60" w:type="dxa"/>
              <w:left w:w="100" w:type="dxa"/>
              <w:right w:w="100" w:type="dxa"/>
            </w:tcMar>
          </w:tcPr>
          <w:p>
            <w:pPr>
              <w:spacing w:before="20" w:after="40" w:line="264" w:lineRule="auto"/>
            </w:pPr>
            <w:r>
              <w:rPr>
                <w:rFonts w:ascii="Calibri" w:hAnsi="Calibri"/>
                <w:color w:val="1E1E1E"/>
                <w:sz w:val="17"/>
              </w:rPr>
              <w:t>Formulación de registros TXT para SPF, DKIM y DMARC con sintaxis estricta.</w:t>
            </w:r>
          </w:p>
        </w:tc>
        <w:tc>
          <w:tcPr>
            <w:tcW w:type="dxa" w:w="3360"/>
            <w:shd w:fill="FFFFFF"/>
            <w:tcMar>
              <w:top w:w="60" w:type="dxa"/>
              <w:bottom w:w="60" w:type="dxa"/>
              <w:left w:w="100" w:type="dxa"/>
              <w:right w:w="100" w:type="dxa"/>
            </w:tcMar>
          </w:tcPr>
          <w:p>
            <w:pPr>
              <w:spacing w:before="20" w:after="40" w:line="264" w:lineRule="auto"/>
            </w:pPr>
            <w:r>
              <w:rPr>
                <w:rFonts w:ascii="Calibri" w:hAnsi="Calibri"/>
                <w:color w:val="1E1E1E"/>
                <w:sz w:val="17"/>
              </w:rPr>
              <w:t xml:space="preserve">Creación de claves RSA 2048 en OpenDKIM, publicación en zonas BIND 9 autoritativas y validación con </w:t>
            </w:r>
            <w:r>
              <w:rPr>
                <w:rFonts w:ascii="Consolas" w:hAnsi="Consolas"/>
                <w:color w:val="102C57"/>
                <w:sz w:val="16"/>
              </w:rPr>
              <w:t>dig</w:t>
            </w:r>
            <w:r>
              <w:rPr>
                <w:rFonts w:ascii="Calibri" w:hAnsi="Calibri"/>
                <w:color w:val="1E1E1E"/>
                <w:sz w:val="17"/>
              </w:rPr>
              <w:t>.</w:t>
            </w:r>
          </w:p>
        </w:tc>
      </w:tr>
      <w:tr>
        <w:trPr>
          <w:cantSplit/>
        </w:trPr>
        <w:tc>
          <w:tcPr>
            <w:tcW w:type="dxa" w:w="3360"/>
            <w:shd w:fill="F8FAFC"/>
            <w:tcMar>
              <w:top w:w="60" w:type="dxa"/>
              <w:bottom w:w="60" w:type="dxa"/>
              <w:left w:w="100" w:type="dxa"/>
              <w:right w:w="100" w:type="dxa"/>
            </w:tcMar>
          </w:tcPr>
          <w:p>
            <w:pPr>
              <w:spacing w:before="20" w:after="40" w:line="264" w:lineRule="auto"/>
            </w:pPr>
            <w:r>
              <w:rPr>
                <w:rFonts w:ascii="Calibri" w:hAnsi="Calibri"/>
                <w:b/>
                <w:color w:val="1E1E1E"/>
                <w:sz w:val="17"/>
              </w:rPr>
              <w:t>Análisis de Cabeceras</w:t>
            </w:r>
          </w:p>
        </w:tc>
        <w:tc>
          <w:tcPr>
            <w:tcW w:type="dxa" w:w="3360"/>
            <w:shd w:fill="F8FAFC"/>
            <w:tcMar>
              <w:top w:w="60" w:type="dxa"/>
              <w:bottom w:w="60" w:type="dxa"/>
              <w:left w:w="100" w:type="dxa"/>
              <w:right w:w="100" w:type="dxa"/>
            </w:tcMar>
          </w:tcPr>
          <w:p>
            <w:pPr>
              <w:spacing w:before="20" w:after="40" w:line="264" w:lineRule="auto"/>
            </w:pPr>
            <w:r>
              <w:rPr>
                <w:rFonts w:ascii="Calibri" w:hAnsi="Calibri"/>
                <w:color w:val="1E1E1E"/>
                <w:sz w:val="17"/>
              </w:rPr>
              <w:t xml:space="preserve">Interpretación de campos y estados de verificación en </w:t>
            </w:r>
            <w:r>
              <w:rPr>
                <w:rFonts w:ascii="Consolas" w:hAnsi="Consolas"/>
                <w:color w:val="102C57"/>
                <w:sz w:val="16"/>
              </w:rPr>
              <w:t>Authentication-Results</w:t>
            </w:r>
            <w:r>
              <w:rPr>
                <w:rFonts w:ascii="Calibri" w:hAnsi="Calibri"/>
                <w:color w:val="1E1E1E"/>
                <w:sz w:val="17"/>
              </w:rPr>
              <w:t>.</w:t>
            </w:r>
          </w:p>
        </w:tc>
        <w:tc>
          <w:tcPr>
            <w:tcW w:type="dxa" w:w="3360"/>
            <w:shd w:fill="F8FAFC"/>
            <w:tcMar>
              <w:top w:w="60" w:type="dxa"/>
              <w:bottom w:w="60" w:type="dxa"/>
              <w:left w:w="100" w:type="dxa"/>
              <w:right w:w="100" w:type="dxa"/>
            </w:tcMar>
          </w:tcPr>
          <w:p>
            <w:pPr>
              <w:spacing w:before="20" w:after="40" w:line="264" w:lineRule="auto"/>
            </w:pPr>
            <w:r>
              <w:rPr>
                <w:rFonts w:ascii="Calibri" w:hAnsi="Calibri"/>
                <w:color w:val="1E1E1E"/>
                <w:sz w:val="17"/>
              </w:rPr>
              <w:t xml:space="preserve">Extracción física del correo en </w:t>
            </w:r>
            <w:r>
              <w:rPr>
                <w:rFonts w:ascii="Consolas" w:hAnsi="Consolas"/>
                <w:color w:val="102C57"/>
                <w:sz w:val="16"/>
              </w:rPr>
              <w:t>/home/rosa.mamani/Maildir/cur/</w:t>
            </w:r>
            <w:r>
              <w:rPr>
                <w:rFonts w:ascii="Calibri" w:hAnsi="Calibri"/>
                <w:color w:val="1E1E1E"/>
                <w:sz w:val="17"/>
              </w:rPr>
              <w:t>, validación de huellas base64 y contrastación con el RFC 6376.</w:t>
            </w:r>
          </w:p>
        </w:tc>
      </w:tr>
      <w:tr>
        <w:trPr>
          <w:cantSplit/>
        </w:trPr>
        <w:tc>
          <w:tcPr>
            <w:tcW w:type="dxa" w:w="3360"/>
            <w:shd w:fill="FFFFFF"/>
            <w:tcMar>
              <w:top w:w="60" w:type="dxa"/>
              <w:bottom w:w="60" w:type="dxa"/>
              <w:left w:w="100" w:type="dxa"/>
              <w:right w:w="100" w:type="dxa"/>
            </w:tcMar>
          </w:tcPr>
          <w:p>
            <w:pPr>
              <w:spacing w:before="20" w:after="40" w:line="264" w:lineRule="auto"/>
            </w:pPr>
            <w:r>
              <w:rPr>
                <w:rFonts w:ascii="Calibri" w:hAnsi="Calibri"/>
                <w:b/>
                <w:color w:val="1E1E1E"/>
                <w:sz w:val="17"/>
              </w:rPr>
              <w:t>Redacción de Informes y Presentación</w:t>
            </w:r>
          </w:p>
        </w:tc>
        <w:tc>
          <w:tcPr>
            <w:tcW w:type="dxa" w:w="3360"/>
            <w:shd w:fill="FFFFFF"/>
            <w:tcMar>
              <w:top w:w="60" w:type="dxa"/>
              <w:bottom w:w="60" w:type="dxa"/>
              <w:left w:w="100" w:type="dxa"/>
              <w:right w:w="100" w:type="dxa"/>
            </w:tcMar>
          </w:tcPr>
          <w:p>
            <w:pPr>
              <w:spacing w:before="20" w:after="40" w:line="264" w:lineRule="auto"/>
            </w:pPr>
            <w:r>
              <w:rPr>
                <w:rFonts w:ascii="Calibri" w:hAnsi="Calibri"/>
                <w:color w:val="1E1E1E"/>
                <w:sz w:val="17"/>
              </w:rPr>
              <w:t>Estructuración inicial de plantillas en Markdown y scripts de compilación docx/pdf.</w:t>
            </w:r>
          </w:p>
        </w:tc>
        <w:tc>
          <w:tcPr>
            <w:tcW w:type="dxa" w:w="3360"/>
            <w:shd w:fill="FFFFFF"/>
            <w:tcMar>
              <w:top w:w="60" w:type="dxa"/>
              <w:bottom w:w="60" w:type="dxa"/>
              <w:left w:w="100" w:type="dxa"/>
              <w:right w:w="100" w:type="dxa"/>
            </w:tcMar>
          </w:tcPr>
          <w:p>
            <w:pPr>
              <w:spacing w:before="20" w:after="40" w:line="264" w:lineRule="auto"/>
            </w:pPr>
            <w:r>
              <w:rPr>
                <w:rFonts w:ascii="Calibri" w:hAnsi="Calibri"/>
                <w:color w:val="1E1E1E"/>
                <w:sz w:val="17"/>
              </w:rPr>
              <w:t>Verificación de citas APA 7, inclusión de capturas de pantalla reales y ajuste de estilo institucional Deep Navy.</w:t>
            </w:r>
          </w:p>
        </w:tc>
      </w:tr>
    </w:tbl>
    <w:p>
      <w:pPr>
        <w:spacing w:before="0" w:after="80"/>
      </w:pPr>
    </w:p>
    <w:p>
      <w:pPr>
        <w:spacing w:before="40" w:after="80"/>
      </w:pPr>
      <w:r>
        <w:rPr>
          <w:color w:val="B4C3D7"/>
        </w:rPr>
        <w:t>――――――――――――――――――――――――――――――――――――――――――――――――――――――――――――</w:t>
      </w:r>
    </w:p>
    <w:p>
      <w:pPr>
        <w:keepNext/>
        <w:spacing w:before="220" w:after="60"/>
      </w:pPr>
      <w:r>
        <w:rPr>
          <w:rFonts w:ascii="Calibri" w:hAnsi="Calibri"/>
          <w:b/>
          <w:color w:val="102C57"/>
          <w:sz w:val="25"/>
        </w:rPr>
        <w:t>4. Reflexión sobre la IA en la Administración de Sistemas</w:t>
      </w:r>
    </w:p>
    <w:p>
      <w:pPr>
        <w:spacing w:before="20" w:after="60" w:line="276" w:lineRule="auto"/>
      </w:pPr>
      <w:r>
        <w:rPr>
          <w:rFonts w:ascii="Calibri" w:hAnsi="Calibri"/>
          <w:color w:val="1E1E1E"/>
          <w:sz w:val="19"/>
        </w:rPr>
        <w:t>El uso de Inteligencia Artificial en la administración de servidores de correo electrónico representa un multiplicador de productividad invaluable, especialmente para la depuración de configuraciones complejas y la comprensión profunda de especificaciones RFC extensas. No obstante, en el ámbito de la infraestructura crítica, la IA jamás puede reemplazar el criterio técnico humano: un parámetro de relé mal interpretado o una directiva DMARC laxa propuesta por un modelo de lenguaje puede exponer a una organización al secuestro de su reputación digital o a la inclusión en listas negras mundiales. La verdadera competencia profesional reside en saber interrogar al modelo, auditar matemáticamente cada respuesta y comprobarla experimentalmente en el laboratorio.</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