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80"/>
      </w:pPr>
      <w:r>
        <w:rPr>
          <w:rFonts w:ascii="Calibri" w:hAnsi="Calibri"/>
          <w:b/>
          <w:color w:val="102C57"/>
          <w:sz w:val="30"/>
        </w:rPr>
        <w:t>GUÍA DE PREPARACIÓN PARA LA DEFENSA ORAL — ACTIVIDAD 4</w:t>
      </w:r>
    </w:p>
    <w:p>
      <w:pPr>
        <w:keepNext/>
        <w:spacing w:before="220" w:after="60"/>
      </w:pPr>
      <w:r>
        <w:rPr>
          <w:rFonts w:ascii="Calibri" w:hAnsi="Calibri"/>
          <w:b/>
          <w:color w:val="102C57"/>
          <w:sz w:val="25"/>
        </w:rPr>
        <w:t>Correo Institucional Seguro: Postfix, Dovecot IMAPS, Tríada Criptográfica (SPF/DKIM/DMARC) y Antispam</w:t>
      </w:r>
    </w:p>
    <w:p>
      <w:pPr>
        <w:spacing w:before="20" w:after="60" w:line="276" w:lineRule="auto"/>
      </w:pPr>
      <w:r>
        <w:rPr>
          <w:rFonts w:ascii="Calibri" w:hAnsi="Calibri"/>
          <w:b/>
          <w:color w:val="1E1E1E"/>
          <w:sz w:val="19"/>
        </w:rPr>
        <w:t>Asignatura:</w:t>
      </w:r>
      <w:r>
        <w:rPr>
          <w:rFonts w:ascii="Calibri" w:hAnsi="Calibri"/>
          <w:color w:val="1E1E1E"/>
          <w:sz w:val="19"/>
        </w:rPr>
        <w:t xml:space="preserve"> Tecnología Web I (SIS-0150)</w:t>
      </w:r>
    </w:p>
    <w:p>
      <w:pPr>
        <w:spacing w:before="20" w:after="60" w:line="276" w:lineRule="auto"/>
      </w:pPr>
      <w:r>
        <w:rPr>
          <w:rFonts w:ascii="Calibri" w:hAnsi="Calibri"/>
          <w:b/>
          <w:color w:val="1E1E1E"/>
          <w:sz w:val="19"/>
        </w:rPr>
        <w:t>Institución:</w:t>
      </w:r>
      <w:r>
        <w:rPr>
          <w:rFonts w:ascii="Calibri" w:hAnsi="Calibri"/>
          <w:color w:val="1E1E1E"/>
          <w:sz w:val="19"/>
        </w:rPr>
        <w:t xml:space="preserve"> Universidad Privada Domingo Savio (UPDS), Sede Santa Cruz de la Sierra</w:t>
      </w:r>
    </w:p>
    <w:p>
      <w:pPr>
        <w:spacing w:before="20" w:after="60" w:line="276" w:lineRule="auto"/>
      </w:pPr>
      <w:r>
        <w:rPr>
          <w:rFonts w:ascii="Calibri" w:hAnsi="Calibri"/>
          <w:b/>
          <w:color w:val="1E1E1E"/>
          <w:sz w:val="19"/>
        </w:rPr>
        <w:t>Docente Evaluador:</w:t>
      </w:r>
      <w:r>
        <w:rPr>
          <w:rFonts w:ascii="Calibri" w:hAnsi="Calibri"/>
          <w:color w:val="1E1E1E"/>
          <w:sz w:val="19"/>
        </w:rPr>
        <w:t xml:space="preserve"> M.Sc. Ing. Jimmy Nataniel Requena Llorentty</w:t>
      </w:r>
    </w:p>
    <w:p>
      <w:pPr>
        <w:spacing w:before="20" w:after="60" w:line="276" w:lineRule="auto"/>
      </w:pPr>
      <w:r>
        <w:rPr>
          <w:rFonts w:ascii="Calibri" w:hAnsi="Calibri"/>
          <w:b/>
          <w:color w:val="1E1E1E"/>
          <w:sz w:val="19"/>
        </w:rPr>
        <w:t>Equipo Estudiantil:</w:t>
      </w:r>
      <w:r>
        <w:rPr>
          <w:rFonts w:ascii="Calibri" w:hAnsi="Calibri"/>
          <w:color w:val="1E1E1E"/>
          <w:sz w:val="19"/>
        </w:rPr>
        <w:t xml:space="preserve"> Ketfer Gianella Salazar, Charles Yourdan Conde, Brian Calás, Marco Barriga, Adaniel Balderrama</w:t>
      </w:r>
    </w:p>
    <w:p>
      <w:pPr>
        <w:spacing w:before="20" w:after="60" w:line="276" w:lineRule="auto"/>
      </w:pPr>
      <w:r>
        <w:rPr>
          <w:rFonts w:ascii="Calibri" w:hAnsi="Calibri"/>
          <w:b/>
          <w:color w:val="1E1E1E"/>
          <w:sz w:val="19"/>
        </w:rPr>
        <w:t>Fecha:</w:t>
      </w:r>
      <w:r>
        <w:rPr>
          <w:rFonts w:ascii="Calibri" w:hAnsi="Calibri"/>
          <w:color w:val="1E1E1E"/>
          <w:sz w:val="19"/>
        </w:rPr>
        <w:t xml:space="preserve"> 25 de Octubre de 2026</w:t>
      </w:r>
    </w:p>
    <w:p>
      <w:pPr>
        <w:spacing w:before="40" w:after="80"/>
      </w:pPr>
      <w:r>
        <w:rPr>
          <w:color w:val="B4C3D7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60" w:after="40"/>
      </w:pPr>
      <w:r>
        <w:rPr>
          <w:rFonts w:ascii="Calibri" w:hAnsi="Calibri"/>
          <w:b/>
          <w:color w:val="1E3C69"/>
          <w:sz w:val="21"/>
        </w:rPr>
        <w:t>Pregunta 1: ¿Cuál es la diferencia fundamental entre el puerto 25 y el puerto 587 en la arquitectura SMTP?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Respuesta Técnica: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>Aunque ambos puertos ejecutan el protocolo SMTP (RFC 5321), tienen roles y políticas de seguridad completamente opuestos: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Puerto 25 (SMTP Relay inter-servidor):</w:t>
      </w:r>
      <w:r>
        <w:rPr>
          <w:rFonts w:ascii="Calibri" w:hAnsi="Calibri"/>
          <w:color w:val="1E1E1E"/>
          <w:sz w:val="19"/>
        </w:rPr>
        <w:t xml:space="preserve"> Es el canal utilizado exclusivamente para la transferencia de mensajes entre Agentes de Transferencia de Correo (</w:t>
      </w:r>
      <w:r>
        <w:rPr>
          <w:rFonts w:ascii="Calibri" w:hAnsi="Calibri"/>
          <w:b/>
          <w:color w:val="1E1E1E"/>
          <w:sz w:val="19"/>
        </w:rPr>
        <w:t>MTA a MTA</w:t>
      </w:r>
      <w:r>
        <w:rPr>
          <w:rFonts w:ascii="Calibri" w:hAnsi="Calibri"/>
          <w:color w:val="1E1E1E"/>
          <w:sz w:val="19"/>
        </w:rPr>
        <w:t xml:space="preserve">, ej. de </w:t>
      </w:r>
      <w:r>
        <w:rPr>
          <w:rFonts w:ascii="Consolas" w:hAnsi="Consolas"/>
          <w:color w:val="102C57"/>
          <w:sz w:val="18"/>
        </w:rPr>
        <w:t>mail.horizonte.internal</w:t>
      </w:r>
      <w:r>
        <w:rPr>
          <w:rFonts w:ascii="Calibri" w:hAnsi="Calibri"/>
          <w:color w:val="1E1E1E"/>
          <w:sz w:val="19"/>
        </w:rPr>
        <w:t xml:space="preserve"> a </w:t>
      </w:r>
      <w:r>
        <w:rPr>
          <w:rFonts w:ascii="Consolas" w:hAnsi="Consolas"/>
          <w:color w:val="102C57"/>
          <w:sz w:val="18"/>
        </w:rPr>
        <w:t>mail.familia.internal</w:t>
      </w:r>
      <w:r>
        <w:rPr>
          <w:rFonts w:ascii="Calibri" w:hAnsi="Calibri"/>
          <w:color w:val="1E1E1E"/>
          <w:sz w:val="19"/>
        </w:rPr>
        <w:t>). Tradicionalmente no exige autenticación de usuario porque cualquier servidor de Internet debe poder entregar correo al destinatario local, pero aplica restricciones estrictas contra relé abierto (</w:t>
      </w:r>
      <w:r>
        <w:rPr>
          <w:rFonts w:ascii="Consolas" w:hAnsi="Consolas"/>
          <w:color w:val="102C57"/>
          <w:sz w:val="18"/>
        </w:rPr>
        <w:t>reject_unauth_destination</w:t>
      </w:r>
      <w:r>
        <w:rPr>
          <w:rFonts w:ascii="Calibri" w:hAnsi="Calibri"/>
          <w:color w:val="1E1E1E"/>
          <w:sz w:val="19"/>
        </w:rPr>
        <w:t>) y usa cifrado oportunista STARTTLS.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Puerto 587 (Submission - RFC 6409):</w:t>
      </w:r>
      <w:r>
        <w:rPr>
          <w:rFonts w:ascii="Calibri" w:hAnsi="Calibri"/>
          <w:color w:val="1E1E1E"/>
          <w:sz w:val="19"/>
        </w:rPr>
        <w:t xml:space="preserve"> Es el canal de </w:t>
      </w:r>
      <w:r>
        <w:rPr>
          <w:rFonts w:ascii="Calibri" w:hAnsi="Calibri"/>
          <w:b/>
          <w:color w:val="1E1E1E"/>
          <w:sz w:val="19"/>
        </w:rPr>
        <w:t>inyección de mensajes desde los clientes hacia el servidor (MUA a MSA)</w:t>
      </w:r>
      <w:r>
        <w:rPr>
          <w:rFonts w:ascii="Calibri" w:hAnsi="Calibri"/>
          <w:color w:val="1E1E1E"/>
          <w:sz w:val="19"/>
        </w:rPr>
        <w:t xml:space="preserve">. En este puerto, la política es de confianza cero: </w:t>
      </w:r>
      <w:r>
        <w:rPr>
          <w:rFonts w:ascii="Calibri" w:hAnsi="Calibri"/>
          <w:b/>
          <w:color w:val="1E1E1E"/>
          <w:sz w:val="19"/>
        </w:rPr>
        <w:t>la autenticación SASL (usuario y contraseña) y el cifrado TLS son 100% obligatorios</w:t>
      </w:r>
      <w:r>
        <w:rPr>
          <w:rFonts w:ascii="Calibri" w:hAnsi="Calibri"/>
          <w:color w:val="1E1E1E"/>
          <w:sz w:val="19"/>
        </w:rPr>
        <w:t xml:space="preserve"> antes de aceptar cualquier comando </w:t>
      </w:r>
      <w:r>
        <w:rPr>
          <w:rFonts w:ascii="Consolas" w:hAnsi="Consolas"/>
          <w:color w:val="102C57"/>
          <w:sz w:val="18"/>
        </w:rPr>
        <w:t>MAIL FROM</w:t>
      </w:r>
      <w:r>
        <w:rPr>
          <w:rFonts w:ascii="Calibri" w:hAnsi="Calibri"/>
          <w:color w:val="1E1E1E"/>
          <w:sz w:val="19"/>
        </w:rPr>
        <w:t xml:space="preserve">. En nuestro laboratorio, Postfix está configurado con </w:t>
      </w:r>
      <w:r>
        <w:rPr>
          <w:rFonts w:ascii="Consolas" w:hAnsi="Consolas"/>
          <w:color w:val="102C57"/>
          <w:sz w:val="18"/>
        </w:rPr>
        <w:t>smtpd_tls_auth_only = yes</w:t>
      </w:r>
      <w:r>
        <w:rPr>
          <w:rFonts w:ascii="Calibri" w:hAnsi="Calibri"/>
          <w:color w:val="1E1E1E"/>
          <w:sz w:val="19"/>
        </w:rPr>
        <w:t>, lo que impide que un cliente siquiera vea o use mecanismos de autenticación si no ha establecido primero una sesión TLS 1.3.</w:t>
      </w:r>
    </w:p>
    <w:p>
      <w:pPr>
        <w:spacing w:before="40" w:after="80"/>
      </w:pPr>
      <w:r>
        <w:rPr>
          <w:color w:val="B4C3D7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60" w:after="40"/>
      </w:pPr>
      <w:r>
        <w:rPr>
          <w:rFonts w:ascii="Calibri" w:hAnsi="Calibri"/>
          <w:b/>
          <w:color w:val="1E3C69"/>
          <w:sz w:val="21"/>
        </w:rPr>
        <w:t>Pregunta 2: ¿Por qué es una vulnerabilidad crítica mantener abierto el puerto IMAP 143 y cómo se garantizó su clausura en Dovecot?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Respuesta Técnica: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 xml:space="preserve">El puerto IMAP 143 estándar transmite los comandos del protocolo y las credenciales en </w:t>
      </w:r>
      <w:r>
        <w:rPr>
          <w:rFonts w:ascii="Calibri" w:hAnsi="Calibri"/>
          <w:b/>
          <w:color w:val="1E1E1E"/>
          <w:sz w:val="19"/>
        </w:rPr>
        <w:t>texto claro (ASCII no cifrado)</w:t>
      </w:r>
      <w:r>
        <w:rPr>
          <w:rFonts w:ascii="Calibri" w:hAnsi="Calibri"/>
          <w:color w:val="1E1E1E"/>
          <w:sz w:val="19"/>
        </w:rPr>
        <w:t xml:space="preserve">. Si un usuario se conecta desde una red local, Wi-Fi institucional o punto de acceso compartido, un atacante pasivo ejecutando un sniffer como Wireshark o </w:t>
      </w:r>
      <w:r>
        <w:rPr>
          <w:rFonts w:ascii="Consolas" w:hAnsi="Consolas"/>
          <w:color w:val="102C57"/>
          <w:sz w:val="18"/>
        </w:rPr>
        <w:t>tcpdump</w:t>
      </w:r>
      <w:r>
        <w:rPr>
          <w:rFonts w:ascii="Calibri" w:hAnsi="Calibri"/>
          <w:color w:val="1E1E1E"/>
          <w:sz w:val="19"/>
        </w:rPr>
        <w:t xml:space="preserve"> puede capturar fácilmente los paquetes TCP y extraer el usuario y contraseña del comando </w:t>
      </w:r>
      <w:r>
        <w:rPr>
          <w:rFonts w:ascii="Consolas" w:hAnsi="Consolas"/>
          <w:color w:val="102C57"/>
          <w:sz w:val="18"/>
        </w:rPr>
        <w:t>LOGIN &lt;usuario&gt; &lt;password&gt;</w:t>
      </w:r>
      <w:r>
        <w:rPr>
          <w:rFonts w:ascii="Calibri" w:hAnsi="Calibri"/>
          <w:color w:val="1E1E1E"/>
          <w:sz w:val="19"/>
        </w:rPr>
        <w:t>, comprometiendo el buzón completo.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>Aunque el puerto 143 admite la actualización STARTTLS, los atacantes pueden ejecutar ataques de degradación (</w:t>
      </w:r>
      <w:r>
        <w:rPr>
          <w:rFonts w:ascii="Calibri" w:hAnsi="Calibri"/>
          <w:i/>
          <w:color w:val="1E1E1E"/>
          <w:sz w:val="19"/>
        </w:rPr>
        <w:t>STARTTLS Stripping</w:t>
      </w:r>
      <w:r>
        <w:rPr>
          <w:rFonts w:ascii="Calibri" w:hAnsi="Calibri"/>
          <w:color w:val="1E1E1E"/>
          <w:sz w:val="19"/>
        </w:rPr>
        <w:t>), interceptando el banner y eliminando la capacidad TLS para forzar la autenticación en claro.</w:t>
      </w:r>
    </w:p>
    <w:p>
      <w:pPr>
        <w:spacing w:before="20" w:after="60" w:line="276" w:lineRule="auto"/>
      </w:pPr>
      <w:r>
        <w:rPr>
          <w:rFonts w:ascii="Calibri" w:hAnsi="Calibri"/>
          <w:b/>
          <w:color w:val="1E1E1E"/>
          <w:sz w:val="19"/>
        </w:rPr>
        <w:t>Solución implementada:</w:t>
      </w:r>
      <w:r>
        <w:rPr>
          <w:rFonts w:ascii="Calibri" w:hAnsi="Calibri"/>
          <w:color w:val="1E1E1E"/>
          <w:sz w:val="19"/>
        </w:rPr>
        <w:t xml:space="preserve"> En </w:t>
      </w:r>
      <w:r>
        <w:rPr>
          <w:rFonts w:ascii="Consolas" w:hAnsi="Consolas"/>
          <w:color w:val="102C57"/>
          <w:sz w:val="18"/>
        </w:rPr>
        <w:t>/etc/dovecot/conf.d/99-horizonte.conf</w:t>
      </w:r>
      <w:r>
        <w:rPr>
          <w:rFonts w:ascii="Calibri" w:hAnsi="Calibri"/>
          <w:color w:val="1E1E1E"/>
          <w:sz w:val="19"/>
        </w:rPr>
        <w:t xml:space="preserve"> se desactivó por completo el listener en claro mediante: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1E1E"/>
                <w:sz w:val="16"/>
              </w:rPr>
              <w:t xml:space="preserve">  service imap-login {</w:t>
              <w:br/>
              <w:t xml:space="preserve">    inet_listener imap {</w:t>
              <w:br/>
              <w:t xml:space="preserve">      port = 0</w:t>
              <w:br/>
              <w:t xml:space="preserve">    }</w:t>
              <w:br/>
              <w:t xml:space="preserve">  }</w:t>
            </w:r>
          </w:p>
        </w:tc>
      </w:tr>
    </w:tbl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>De esta forma, el daemon Dovecot ni siquiera abre el puerto 143 (</w:t>
      </w:r>
      <w:r>
        <w:rPr>
          <w:rFonts w:ascii="Consolas" w:hAnsi="Consolas"/>
          <w:color w:val="102C57"/>
          <w:sz w:val="18"/>
        </w:rPr>
        <w:t>Connection refused</w:t>
      </w:r>
      <w:r>
        <w:rPr>
          <w:rFonts w:ascii="Calibri" w:hAnsi="Calibri"/>
          <w:color w:val="1E1E1E"/>
          <w:sz w:val="19"/>
        </w:rPr>
        <w:t xml:space="preserve">), forzando de manera estricta y matemática el uso de </w:t>
      </w:r>
      <w:r>
        <w:rPr>
          <w:rFonts w:ascii="Calibri" w:hAnsi="Calibri"/>
          <w:b/>
          <w:color w:val="1E1E1E"/>
          <w:sz w:val="19"/>
        </w:rPr>
        <w:t>IMAPS en el puerto 993 con TLS implícito desde el byte 0 de la conexión</w:t>
      </w:r>
      <w:r>
        <w:rPr>
          <w:rFonts w:ascii="Calibri" w:hAnsi="Calibri"/>
          <w:color w:val="1E1E1E"/>
          <w:sz w:val="19"/>
        </w:rPr>
        <w:t>.</w:t>
      </w:r>
    </w:p>
    <w:p>
      <w:pPr>
        <w:spacing w:before="40" w:after="80"/>
      </w:pPr>
      <w:r>
        <w:rPr>
          <w:color w:val="B4C3D7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60" w:after="40"/>
      </w:pPr>
      <w:r>
        <w:rPr>
          <w:rFonts w:ascii="Calibri" w:hAnsi="Calibri"/>
          <w:b/>
          <w:color w:val="1E3C69"/>
          <w:sz w:val="21"/>
        </w:rPr>
        <w:t>Pregunta 3: ¿Qué significan cada uno de los parámetros de la cabecera `DKIM-Signature` y qué sucede si un atacante altera un solo carácter del cuerpo?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Respuesta Técnica: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>La cabecera DKIM (RFC 6376) contiene la firma criptográfica que garantiza autenticidad de origen e integridad de contenido: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onsolas" w:hAnsi="Consolas"/>
          <w:color w:val="102C57"/>
          <w:sz w:val="18"/>
        </w:rPr>
        <w:t>v=1</w:t>
      </w:r>
      <w:r>
        <w:rPr>
          <w:rFonts w:ascii="Calibri" w:hAnsi="Calibri"/>
          <w:color w:val="1E1E1E"/>
          <w:sz w:val="19"/>
        </w:rPr>
        <w:t>: Versión del estándar DKIM.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onsolas" w:hAnsi="Consolas"/>
          <w:color w:val="102C57"/>
          <w:sz w:val="18"/>
        </w:rPr>
        <w:t>a=rsa-sha256</w:t>
      </w:r>
      <w:r>
        <w:rPr>
          <w:rFonts w:ascii="Calibri" w:hAnsi="Calibri"/>
          <w:color w:val="1E1E1E"/>
          <w:sz w:val="19"/>
        </w:rPr>
        <w:t>: Algoritmo de firma digital asimétrica (RSA con función hash criptográfica SHA-256).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onsolas" w:hAnsi="Consolas"/>
          <w:color w:val="102C57"/>
          <w:sz w:val="18"/>
        </w:rPr>
        <w:t>c=relaxed/simple</w:t>
      </w:r>
      <w:r>
        <w:rPr>
          <w:rFonts w:ascii="Calibri" w:hAnsi="Calibri"/>
          <w:color w:val="1E1E1E"/>
          <w:sz w:val="19"/>
        </w:rPr>
        <w:t xml:space="preserve">: Algoritmo de canonización. </w:t>
      </w:r>
      <w:r>
        <w:rPr>
          <w:rFonts w:ascii="Consolas" w:hAnsi="Consolas"/>
          <w:color w:val="102C57"/>
          <w:sz w:val="18"/>
        </w:rPr>
        <w:t>relaxed</w:t>
      </w:r>
      <w:r>
        <w:rPr>
          <w:rFonts w:ascii="Calibri" w:hAnsi="Calibri"/>
          <w:color w:val="1E1E1E"/>
          <w:sz w:val="19"/>
        </w:rPr>
        <w:t xml:space="preserve"> para cabeceras (ignora diferencias menores de espacios en blanco) y </w:t>
      </w:r>
      <w:r>
        <w:rPr>
          <w:rFonts w:ascii="Consolas" w:hAnsi="Consolas"/>
          <w:color w:val="102C57"/>
          <w:sz w:val="18"/>
        </w:rPr>
        <w:t>simple</w:t>
      </w:r>
      <w:r>
        <w:rPr>
          <w:rFonts w:ascii="Calibri" w:hAnsi="Calibri"/>
          <w:color w:val="1E1E1E"/>
          <w:sz w:val="19"/>
        </w:rPr>
        <w:t xml:space="preserve"> para el cuerpo (no tolera modificaciones).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onsolas" w:hAnsi="Consolas"/>
          <w:color w:val="102C57"/>
          <w:sz w:val="18"/>
        </w:rPr>
        <w:t>d=horizonte.internal</w:t>
      </w:r>
      <w:r>
        <w:rPr>
          <w:rFonts w:ascii="Calibri" w:hAnsi="Calibri"/>
          <w:color w:val="1E1E1E"/>
          <w:sz w:val="19"/>
        </w:rPr>
        <w:t>: Dominio firmante que asume la responsabilidad del mensaje.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onsolas" w:hAnsi="Consolas"/>
          <w:color w:val="102C57"/>
          <w:sz w:val="18"/>
        </w:rPr>
        <w:t>s=mail</w:t>
      </w:r>
      <w:r>
        <w:rPr>
          <w:rFonts w:ascii="Calibri" w:hAnsi="Calibri"/>
          <w:color w:val="1E1E1E"/>
          <w:sz w:val="19"/>
        </w:rPr>
        <w:t xml:space="preserve">: Selector de clave DNS. Indica al receptor que debe buscar la clave pública en </w:t>
      </w:r>
      <w:r>
        <w:rPr>
          <w:rFonts w:ascii="Consolas" w:hAnsi="Consolas"/>
          <w:color w:val="102C57"/>
          <w:sz w:val="18"/>
        </w:rPr>
        <w:t>mail._domainkey.horizonte.internal</w:t>
      </w:r>
      <w:r>
        <w:rPr>
          <w:rFonts w:ascii="Calibri" w:hAnsi="Calibri"/>
          <w:color w:val="1E1E1E"/>
          <w:sz w:val="19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onsolas" w:hAnsi="Consolas"/>
          <w:color w:val="102C57"/>
          <w:sz w:val="18"/>
        </w:rPr>
        <w:t>bh=f0AAIg3b...</w:t>
      </w:r>
      <w:r>
        <w:rPr>
          <w:rFonts w:ascii="Calibri" w:hAnsi="Calibri"/>
          <w:color w:val="1E1E1E"/>
          <w:sz w:val="19"/>
        </w:rPr>
        <w:t xml:space="preserve">: </w:t>
      </w:r>
      <w:r>
        <w:rPr>
          <w:rFonts w:ascii="Calibri" w:hAnsi="Calibri"/>
          <w:b/>
          <w:color w:val="1E1E1E"/>
          <w:sz w:val="19"/>
        </w:rPr>
        <w:t>Body Hash</w:t>
      </w:r>
      <w:r>
        <w:rPr>
          <w:rFonts w:ascii="Calibri" w:hAnsi="Calibri"/>
          <w:color w:val="1E1E1E"/>
          <w:sz w:val="19"/>
        </w:rPr>
        <w:t>. Es el resumen criptográfico SHA-256 codificado en Base64 calculado sobre el cuerpo del mensaje.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onsolas" w:hAnsi="Consolas"/>
          <w:color w:val="102C57"/>
          <w:sz w:val="18"/>
        </w:rPr>
        <w:t>b=x4VW1TLf...</w:t>
      </w:r>
      <w:r>
        <w:rPr>
          <w:rFonts w:ascii="Calibri" w:hAnsi="Calibri"/>
          <w:color w:val="1E1E1E"/>
          <w:sz w:val="19"/>
        </w:rPr>
        <w:t xml:space="preserve">: </w:t>
      </w:r>
      <w:r>
        <w:rPr>
          <w:rFonts w:ascii="Calibri" w:hAnsi="Calibri"/>
          <w:b/>
          <w:color w:val="1E1E1E"/>
          <w:sz w:val="19"/>
        </w:rPr>
        <w:t>Firma Digital</w:t>
      </w:r>
      <w:r>
        <w:rPr>
          <w:rFonts w:ascii="Calibri" w:hAnsi="Calibri"/>
          <w:color w:val="1E1E1E"/>
          <w:sz w:val="19"/>
        </w:rPr>
        <w:t>. Es el hash de las cabeceras críticas (</w:t>
      </w:r>
      <w:r>
        <w:rPr>
          <w:rFonts w:ascii="Consolas" w:hAnsi="Consolas"/>
          <w:color w:val="102C57"/>
          <w:sz w:val="18"/>
        </w:rPr>
        <w:t>Date</w:t>
      </w:r>
      <w:r>
        <w:rPr>
          <w:rFonts w:ascii="Calibri" w:hAnsi="Calibri"/>
          <w:color w:val="1E1E1E"/>
          <w:sz w:val="19"/>
        </w:rPr>
        <w:t xml:space="preserve">, </w:t>
      </w:r>
      <w:r>
        <w:rPr>
          <w:rFonts w:ascii="Consolas" w:hAnsi="Consolas"/>
          <w:color w:val="102C57"/>
          <w:sz w:val="18"/>
        </w:rPr>
        <w:t>To</w:t>
      </w:r>
      <w:r>
        <w:rPr>
          <w:rFonts w:ascii="Calibri" w:hAnsi="Calibri"/>
          <w:color w:val="1E1E1E"/>
          <w:sz w:val="19"/>
        </w:rPr>
        <w:t xml:space="preserve">, </w:t>
      </w:r>
      <w:r>
        <w:rPr>
          <w:rFonts w:ascii="Consolas" w:hAnsi="Consolas"/>
          <w:color w:val="102C57"/>
          <w:sz w:val="18"/>
        </w:rPr>
        <w:t>From</w:t>
      </w:r>
      <w:r>
        <w:rPr>
          <w:rFonts w:ascii="Calibri" w:hAnsi="Calibri"/>
          <w:color w:val="1E1E1E"/>
          <w:sz w:val="19"/>
        </w:rPr>
        <w:t xml:space="preserve">, </w:t>
      </w:r>
      <w:r>
        <w:rPr>
          <w:rFonts w:ascii="Consolas" w:hAnsi="Consolas"/>
          <w:color w:val="102C57"/>
          <w:sz w:val="18"/>
        </w:rPr>
        <w:t>Subject</w:t>
      </w:r>
      <w:r>
        <w:rPr>
          <w:rFonts w:ascii="Calibri" w:hAnsi="Calibri"/>
          <w:color w:val="1E1E1E"/>
          <w:sz w:val="19"/>
        </w:rPr>
        <w:t xml:space="preserve">) y del propio </w:t>
      </w:r>
      <w:r>
        <w:rPr>
          <w:rFonts w:ascii="Consolas" w:hAnsi="Consolas"/>
          <w:color w:val="102C57"/>
          <w:sz w:val="18"/>
        </w:rPr>
        <w:t>bh=</w:t>
      </w:r>
      <w:r>
        <w:rPr>
          <w:rFonts w:ascii="Calibri" w:hAnsi="Calibri"/>
          <w:color w:val="1E1E1E"/>
          <w:sz w:val="19"/>
        </w:rPr>
        <w:t>, cifrado con la clave privada RSA de 2048 bits de Postfix.</w:t>
      </w:r>
    </w:p>
    <w:p>
      <w:pPr>
        <w:spacing w:before="20" w:after="60" w:line="276" w:lineRule="auto"/>
      </w:pPr>
      <w:r>
        <w:rPr>
          <w:rFonts w:ascii="Calibri" w:hAnsi="Calibri"/>
          <w:b/>
          <w:color w:val="1E1E1E"/>
          <w:sz w:val="19"/>
        </w:rPr>
        <w:t>Impacto ante alteraciones:</w:t>
      </w:r>
      <w:r>
        <w:rPr>
          <w:rFonts w:ascii="Calibri" w:hAnsi="Calibri"/>
          <w:color w:val="1E1E1E"/>
          <w:sz w:val="19"/>
        </w:rPr>
        <w:t xml:space="preserve"> Si un atacante en tránsito altera una sola letra, número o espacio en el cuerpo del correo, el servidor de destino recalcula el hash SHA-256 del cuerpo y obtiene un valor divergente de </w:t>
      </w:r>
      <w:r>
        <w:rPr>
          <w:rFonts w:ascii="Consolas" w:hAnsi="Consolas"/>
          <w:color w:val="102C57"/>
          <w:sz w:val="18"/>
        </w:rPr>
        <w:t>bh=</w:t>
      </w:r>
      <w:r>
        <w:rPr>
          <w:rFonts w:ascii="Calibri" w:hAnsi="Calibri"/>
          <w:color w:val="1E1E1E"/>
          <w:sz w:val="19"/>
        </w:rPr>
        <w:t>. Esto hace que la verificación de la firma digital falle de inmediato (</w:t>
      </w:r>
      <w:r>
        <w:rPr>
          <w:rFonts w:ascii="Consolas" w:hAnsi="Consolas"/>
          <w:color w:val="102C57"/>
          <w:sz w:val="18"/>
        </w:rPr>
        <w:t>dkim=fail</w:t>
      </w:r>
      <w:r>
        <w:rPr>
          <w:rFonts w:ascii="Calibri" w:hAnsi="Calibri"/>
          <w:color w:val="1E1E1E"/>
          <w:sz w:val="19"/>
        </w:rPr>
        <w:t>), activando la política DMARC de rechazo o cuarentena.</w:t>
      </w:r>
    </w:p>
    <w:p>
      <w:pPr>
        <w:spacing w:before="40" w:after="80"/>
      </w:pPr>
      <w:r>
        <w:rPr>
          <w:color w:val="B4C3D7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60" w:after="40"/>
      </w:pPr>
      <w:r>
        <w:rPr>
          <w:rFonts w:ascii="Calibri" w:hAnsi="Calibri"/>
          <w:b/>
          <w:color w:val="1E3C69"/>
          <w:sz w:val="21"/>
        </w:rPr>
        <w:t>Pregunta 4: ¿Por qué un registro SPF con terminación `~all` o `?all` es insuficiente y por qué configuramos `-all`?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Respuesta Técnica: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>El calificador final del registro SPF (RFC 7208) determina qué acción debe tomar el servidor receptor si la IP del remitente no coincide con los servidores autorizados: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onsolas" w:hAnsi="Consolas"/>
          <w:color w:val="102C57"/>
          <w:sz w:val="18"/>
        </w:rPr>
        <w:t>+all</w:t>
      </w:r>
      <w:r>
        <w:rPr>
          <w:rFonts w:ascii="Calibri" w:hAnsi="Calibri"/>
          <w:color w:val="1E1E1E"/>
          <w:sz w:val="19"/>
        </w:rPr>
        <w:t>: Acepta todo (permisivo total, anula la seguridad).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onsolas" w:hAnsi="Consolas"/>
          <w:color w:val="102C57"/>
          <w:sz w:val="18"/>
        </w:rPr>
        <w:t>?all</w:t>
      </w:r>
      <w:r>
        <w:rPr>
          <w:rFonts w:ascii="Calibri" w:hAnsi="Calibri"/>
          <w:color w:val="1E1E1E"/>
          <w:sz w:val="19"/>
        </w:rPr>
        <w:t xml:space="preserve"> (</w:t>
      </w:r>
      <w:r>
        <w:rPr>
          <w:rFonts w:ascii="Calibri" w:hAnsi="Calibri"/>
          <w:i/>
          <w:color w:val="1E1E1E"/>
          <w:sz w:val="19"/>
        </w:rPr>
        <w:t>Neutral</w:t>
      </w:r>
      <w:r>
        <w:rPr>
          <w:rFonts w:ascii="Calibri" w:hAnsi="Calibri"/>
          <w:color w:val="1E1E1E"/>
          <w:sz w:val="19"/>
        </w:rPr>
        <w:t>): El dominio no declara si la IP está autorizada o no. Los filtros antispam no pueden tomar una decisión determinante y no bloquean la suplantación.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onsolas" w:hAnsi="Consolas"/>
          <w:color w:val="102C57"/>
          <w:sz w:val="18"/>
        </w:rPr>
        <w:t>~all</w:t>
      </w:r>
      <w:r>
        <w:rPr>
          <w:rFonts w:ascii="Calibri" w:hAnsi="Calibri"/>
          <w:color w:val="1E1E1E"/>
          <w:sz w:val="19"/>
        </w:rPr>
        <w:t xml:space="preserve"> (</w:t>
      </w:r>
      <w:r>
        <w:rPr>
          <w:rFonts w:ascii="Calibri" w:hAnsi="Calibri"/>
          <w:i/>
          <w:color w:val="1E1E1E"/>
          <w:sz w:val="19"/>
        </w:rPr>
        <w:t>SoftFail</w:t>
      </w:r>
      <w:r>
        <w:rPr>
          <w:rFonts w:ascii="Calibri" w:hAnsi="Calibri"/>
          <w:color w:val="1E1E1E"/>
          <w:sz w:val="19"/>
        </w:rPr>
        <w:t>): El correo no autorizado se marca como sospechoso pero usualmente se entrega en la bandeja de entrada o en spam. Muchos atacantes aprovechan dominios con SoftFail para enviar campañas de phishing con alta tasa de éxito.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onsolas" w:hAnsi="Consolas"/>
          <w:color w:val="102C57"/>
          <w:sz w:val="18"/>
        </w:rPr>
        <w:t>-all</w:t>
      </w:r>
      <w:r>
        <w:rPr>
          <w:rFonts w:ascii="Calibri" w:hAnsi="Calibri"/>
          <w:color w:val="1E1E1E"/>
          <w:sz w:val="19"/>
        </w:rPr>
        <w:t xml:space="preserve"> (</w:t>
      </w:r>
      <w:r>
        <w:rPr>
          <w:rFonts w:ascii="Calibri" w:hAnsi="Calibri"/>
          <w:i/>
          <w:color w:val="1E1E1E"/>
          <w:sz w:val="19"/>
        </w:rPr>
        <w:t>HardFail - Rechazo Estricto</w:t>
      </w:r>
      <w:r>
        <w:rPr>
          <w:rFonts w:ascii="Calibri" w:hAnsi="Calibri"/>
          <w:color w:val="1E1E1E"/>
          <w:sz w:val="19"/>
        </w:rPr>
        <w:t xml:space="preserve">): Indica explícitamente a los servidores receptores de todo el mundo que </w:t>
      </w:r>
      <w:r>
        <w:rPr>
          <w:rFonts w:ascii="Calibri" w:hAnsi="Calibri"/>
          <w:b/>
          <w:color w:val="1E1E1E"/>
          <w:sz w:val="19"/>
        </w:rPr>
        <w:t>ninguna otra IP que no sea la listada en el registro MX tiene autorización para emitir correo</w:t>
      </w:r>
      <w:r>
        <w:rPr>
          <w:rFonts w:ascii="Calibri" w:hAnsi="Calibri"/>
          <w:color w:val="1E1E1E"/>
          <w:sz w:val="19"/>
        </w:rPr>
        <w:t>. Si un atacante intenta enviar un correo usando nuestro dominio desde otra IP, el receptor rechaza la conexión en el acto con código SMTP 550.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 xml:space="preserve">En nuestro DNS BIND 9 publicamos: </w:t>
      </w:r>
      <w:r>
        <w:rPr>
          <w:rFonts w:ascii="Consolas" w:hAnsi="Consolas"/>
          <w:color w:val="102C57"/>
          <w:sz w:val="18"/>
        </w:rPr>
        <w:t>v=spf1 mx -all</w:t>
      </w:r>
      <w:r>
        <w:rPr>
          <w:rFonts w:ascii="Calibri" w:hAnsi="Calibri"/>
          <w:color w:val="1E1E1E"/>
          <w:sz w:val="19"/>
        </w:rPr>
        <w:t>, garantizando la máxima protección de reputación.</w:t>
      </w:r>
    </w:p>
    <w:p>
      <w:pPr>
        <w:spacing w:before="40" w:after="80"/>
      </w:pPr>
      <w:r>
        <w:rPr>
          <w:color w:val="B4C3D7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60" w:after="40"/>
      </w:pPr>
      <w:r>
        <w:rPr>
          <w:rFonts w:ascii="Calibri" w:hAnsi="Calibri"/>
          <w:b/>
          <w:color w:val="1E3C69"/>
          <w:sz w:val="21"/>
        </w:rPr>
        <w:t>Pregunta 5: ¿Qué es la "alineación de dominio" en DMARC y por qué es indispensable contra el phishing?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Respuesta Técnica: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>SPF y DKIM por sí solos tienen un fallo de diseño que los spammers aprovechan: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color w:val="1E1E1E"/>
          <w:sz w:val="19"/>
        </w:rPr>
        <w:t xml:space="preserve">SPF valida la IP contra el dominio del </w:t>
      </w:r>
      <w:r>
        <w:rPr>
          <w:rFonts w:ascii="Calibri" w:hAnsi="Calibri"/>
          <w:b/>
          <w:color w:val="1E1E1E"/>
          <w:sz w:val="19"/>
        </w:rPr>
        <w:t>Envelope Sender</w:t>
      </w:r>
      <w:r>
        <w:rPr>
          <w:rFonts w:ascii="Calibri" w:hAnsi="Calibri"/>
          <w:color w:val="1E1E1E"/>
          <w:sz w:val="19"/>
        </w:rPr>
        <w:t xml:space="preserve"> (</w:t>
      </w:r>
      <w:r>
        <w:rPr>
          <w:rFonts w:ascii="Consolas" w:hAnsi="Consolas"/>
          <w:color w:val="102C57"/>
          <w:sz w:val="18"/>
        </w:rPr>
        <w:t>MAIL FROM</w:t>
      </w:r>
      <w:r>
        <w:rPr>
          <w:rFonts w:ascii="Calibri" w:hAnsi="Calibri"/>
          <w:color w:val="1E1E1E"/>
          <w:sz w:val="19"/>
        </w:rPr>
        <w:t xml:space="preserve"> en la sesión SMTP, invisible para el usuario).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color w:val="1E1E1E"/>
          <w:sz w:val="19"/>
        </w:rPr>
        <w:t xml:space="preserve">DKIM valida que el mensaje esté firmado por el dominio presente en la etiqueta </w:t>
      </w:r>
      <w:r>
        <w:rPr>
          <w:rFonts w:ascii="Consolas" w:hAnsi="Consolas"/>
          <w:color w:val="102C57"/>
          <w:sz w:val="18"/>
        </w:rPr>
        <w:t>d=</w:t>
      </w:r>
      <w:r>
        <w:rPr>
          <w:rFonts w:ascii="Calibri" w:hAnsi="Calibri"/>
          <w:color w:val="1E1E1E"/>
          <w:sz w:val="19"/>
        </w:rPr>
        <w:t xml:space="preserve"> de la cabecera DKIM.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 xml:space="preserve">Un atacante puede registrar un dominio propio (ej. </w:t>
      </w:r>
      <w:r>
        <w:rPr>
          <w:rFonts w:ascii="Consolas" w:hAnsi="Consolas"/>
          <w:color w:val="102C57"/>
          <w:sz w:val="18"/>
        </w:rPr>
        <w:t>atacante.com</w:t>
      </w:r>
      <w:r>
        <w:rPr>
          <w:rFonts w:ascii="Calibri" w:hAnsi="Calibri"/>
          <w:color w:val="1E1E1E"/>
          <w:sz w:val="19"/>
        </w:rPr>
        <w:t xml:space="preserve">), publicar SPF y DKIM válidos para su dominio, pero colocar en el encabezado visible del cliente de correo </w:t>
      </w:r>
      <w:r>
        <w:rPr>
          <w:rFonts w:ascii="Consolas" w:hAnsi="Consolas"/>
          <w:color w:val="102C57"/>
          <w:sz w:val="18"/>
        </w:rPr>
        <w:t>From: director@horizonte.internal</w:t>
      </w:r>
      <w:r>
        <w:rPr>
          <w:rFonts w:ascii="Calibri" w:hAnsi="Calibri"/>
          <w:color w:val="1E1E1E"/>
          <w:sz w:val="19"/>
        </w:rPr>
        <w:t xml:space="preserve">. Para el usuario, el correo parece 100% auténtico del director, y SPF/DKIM darían "Pass" porque validaron </w:t>
      </w:r>
      <w:r>
        <w:rPr>
          <w:rFonts w:ascii="Consolas" w:hAnsi="Consolas"/>
          <w:color w:val="102C57"/>
          <w:sz w:val="18"/>
        </w:rPr>
        <w:t>atacante.com</w:t>
      </w:r>
      <w:r>
        <w:rPr>
          <w:rFonts w:ascii="Calibri" w:hAnsi="Calibri"/>
          <w:color w:val="1E1E1E"/>
          <w:sz w:val="19"/>
        </w:rPr>
        <w:t>.</w:t>
      </w:r>
    </w:p>
    <w:p>
      <w:pPr>
        <w:spacing w:before="20" w:after="60" w:line="276" w:lineRule="auto"/>
      </w:pPr>
      <w:r>
        <w:rPr>
          <w:rFonts w:ascii="Calibri" w:hAnsi="Calibri"/>
          <w:b/>
          <w:color w:val="1E1E1E"/>
          <w:sz w:val="19"/>
        </w:rPr>
        <w:t>DMARC (RFC 7489) resuelve esto mediante la Alineación: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 xml:space="preserve">Exige que el dominio visible en la cabecera </w:t>
      </w:r>
      <w:r>
        <w:rPr>
          <w:rFonts w:ascii="Consolas" w:hAnsi="Consolas"/>
          <w:color w:val="102C57"/>
          <w:sz w:val="18"/>
        </w:rPr>
        <w:t>From:</w:t>
      </w:r>
      <w:r>
        <w:rPr>
          <w:rFonts w:ascii="Calibri" w:hAnsi="Calibri"/>
          <w:color w:val="1E1E1E"/>
          <w:sz w:val="19"/>
        </w:rPr>
        <w:t xml:space="preserve"> coincida exactamente con el dominio validado por SPF y/o el dominio validado por DKIM (</w:t>
      </w:r>
      <w:r>
        <w:rPr>
          <w:rFonts w:ascii="Consolas" w:hAnsi="Consolas"/>
          <w:color w:val="102C57"/>
          <w:sz w:val="18"/>
        </w:rPr>
        <w:t>d=</w:t>
      </w:r>
      <w:r>
        <w:rPr>
          <w:rFonts w:ascii="Calibri" w:hAnsi="Calibri"/>
          <w:color w:val="1E1E1E"/>
          <w:sz w:val="19"/>
        </w:rPr>
        <w:t>). En nuestro servidor configuramos alineación estricta (</w:t>
      </w:r>
      <w:r>
        <w:rPr>
          <w:rFonts w:ascii="Consolas" w:hAnsi="Consolas"/>
          <w:color w:val="102C57"/>
          <w:sz w:val="18"/>
        </w:rPr>
        <w:t>adkim=s; aspf=s</w:t>
      </w:r>
      <w:r>
        <w:rPr>
          <w:rFonts w:ascii="Calibri" w:hAnsi="Calibri"/>
          <w:color w:val="1E1E1E"/>
          <w:sz w:val="19"/>
        </w:rPr>
        <w:t xml:space="preserve">), lo que significa que no se permiten ni siquiera subdominios: si el remitente dice </w:t>
      </w:r>
      <w:r>
        <w:rPr>
          <w:rFonts w:ascii="Consolas" w:hAnsi="Consolas"/>
          <w:color w:val="102C57"/>
          <w:sz w:val="18"/>
        </w:rPr>
        <w:t>@horizonte.internal</w:t>
      </w:r>
      <w:r>
        <w:rPr>
          <w:rFonts w:ascii="Calibri" w:hAnsi="Calibri"/>
          <w:color w:val="1E1E1E"/>
          <w:sz w:val="19"/>
        </w:rPr>
        <w:t xml:space="preserve">, la firma DKIM y el SPF deben pertenecer estrictamente a </w:t>
      </w:r>
      <w:r>
        <w:rPr>
          <w:rFonts w:ascii="Consolas" w:hAnsi="Consolas"/>
          <w:color w:val="102C57"/>
          <w:sz w:val="18"/>
        </w:rPr>
        <w:t>horizonte.internal</w:t>
      </w:r>
      <w:r>
        <w:rPr>
          <w:rFonts w:ascii="Calibri" w:hAnsi="Calibri"/>
          <w:color w:val="1E1E1E"/>
          <w:sz w:val="19"/>
        </w:rPr>
        <w:t xml:space="preserve">. Si no alinean, DMARC aplica la política </w:t>
      </w:r>
      <w:r>
        <w:rPr>
          <w:rFonts w:ascii="Consolas" w:hAnsi="Consolas"/>
          <w:color w:val="102C57"/>
          <w:sz w:val="18"/>
        </w:rPr>
        <w:t>p=quarantine</w:t>
      </w:r>
      <w:r>
        <w:rPr>
          <w:rFonts w:ascii="Calibri" w:hAnsi="Calibri"/>
          <w:color w:val="1E1E1E"/>
          <w:sz w:val="19"/>
        </w:rPr>
        <w:t>.</w:t>
      </w:r>
    </w:p>
    <w:p>
      <w:pPr>
        <w:spacing w:before="40" w:after="80"/>
      </w:pPr>
      <w:r>
        <w:rPr>
          <w:color w:val="B4C3D7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60" w:after="40"/>
      </w:pPr>
      <w:r>
        <w:rPr>
          <w:rFonts w:ascii="Calibri" w:hAnsi="Calibri"/>
          <w:b/>
          <w:color w:val="1E3C69"/>
          <w:sz w:val="21"/>
        </w:rPr>
        <w:t>Pregunta 6: ¿Cómo previene Postfix que un usuario autenticado envíe correos usando la dirección de otra persona (*Anti-Spoofing*)?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Respuesta Técnica: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 xml:space="preserve">En una configuración básica de Postfix con SASL, un usuario que se autentica exitosamente como </w:t>
      </w:r>
      <w:r>
        <w:rPr>
          <w:rFonts w:ascii="Consolas" w:hAnsi="Consolas"/>
          <w:color w:val="102C57"/>
          <w:sz w:val="18"/>
        </w:rPr>
        <w:t>secretaria</w:t>
      </w:r>
      <w:r>
        <w:rPr>
          <w:rFonts w:ascii="Calibri" w:hAnsi="Calibri"/>
          <w:color w:val="1E1E1E"/>
          <w:sz w:val="19"/>
        </w:rPr>
        <w:t xml:space="preserve"> podría ejecutar el comando </w:t>
      </w:r>
      <w:r>
        <w:rPr>
          <w:rFonts w:ascii="Consolas" w:hAnsi="Consolas"/>
          <w:color w:val="102C57"/>
          <w:sz w:val="18"/>
        </w:rPr>
        <w:t>MAIL FROM: &lt;director@horizonte.internal&gt;</w:t>
      </w:r>
      <w:r>
        <w:rPr>
          <w:rFonts w:ascii="Calibri" w:hAnsi="Calibri"/>
          <w:color w:val="1E1E1E"/>
          <w:sz w:val="19"/>
        </w:rPr>
        <w:t xml:space="preserve"> y el servidor lo enviaría sin rechistar.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 xml:space="preserve">Para blindar el sistema contra la suplantación interna, implementamos dos directivas en </w:t>
      </w:r>
      <w:r>
        <w:rPr>
          <w:rFonts w:ascii="Consolas" w:hAnsi="Consolas"/>
          <w:color w:val="102C57"/>
          <w:sz w:val="18"/>
        </w:rPr>
        <w:t>/etc/postfix/master.cf</w:t>
      </w:r>
      <w:r>
        <w:rPr>
          <w:rFonts w:ascii="Calibri" w:hAnsi="Calibri"/>
          <w:color w:val="1E1E1E"/>
          <w:sz w:val="19"/>
        </w:rPr>
        <w:t xml:space="preserve"> bajo el servicio </w:t>
      </w:r>
      <w:r>
        <w:rPr>
          <w:rFonts w:ascii="Consolas" w:hAnsi="Consolas"/>
          <w:color w:val="102C57"/>
          <w:sz w:val="18"/>
        </w:rPr>
        <w:t>submission</w:t>
      </w:r>
      <w:r>
        <w:rPr>
          <w:rFonts w:ascii="Calibri" w:hAnsi="Calibri"/>
          <w:color w:val="1E1E1E"/>
          <w:sz w:val="19"/>
        </w:rPr>
        <w:t>: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1.  </w:t>
      </w:r>
      <w:r>
        <w:rPr>
          <w:rFonts w:ascii="Consolas" w:hAnsi="Consolas"/>
          <w:color w:val="102C57"/>
          <w:sz w:val="18"/>
        </w:rPr>
        <w:t>-o smtpd_sender_restrictions=reject_sender_login_mismatch</w:t>
      </w:r>
      <w:r>
        <w:rPr>
          <w:rFonts w:ascii="Calibri" w:hAnsi="Calibri"/>
          <w:color w:val="1E1E1E"/>
          <w:sz w:val="19"/>
        </w:rPr>
        <w:t xml:space="preserve">: Obliga a Postfix a cruzar la identidad del usuario SASL autenticado con la dirección remitente especificada en </w:t>
      </w:r>
      <w:r>
        <w:rPr>
          <w:rFonts w:ascii="Consolas" w:hAnsi="Consolas"/>
          <w:color w:val="102C57"/>
          <w:sz w:val="18"/>
        </w:rPr>
        <w:t>MAIL FROM</w:t>
      </w:r>
      <w:r>
        <w:rPr>
          <w:rFonts w:ascii="Calibri" w:hAnsi="Calibri"/>
          <w:color w:val="1E1E1E"/>
          <w:sz w:val="19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2.  </w:t>
      </w:r>
      <w:r>
        <w:rPr>
          <w:rFonts w:ascii="Consolas" w:hAnsi="Consolas"/>
          <w:color w:val="102C57"/>
          <w:sz w:val="18"/>
        </w:rPr>
        <w:t>-o smtpd_sender_login_maps=pcre:/etc/postfix/remitentes.pcre</w:t>
      </w:r>
      <w:r>
        <w:rPr>
          <w:rFonts w:ascii="Calibri" w:hAnsi="Calibri"/>
          <w:color w:val="1E1E1E"/>
          <w:sz w:val="19"/>
        </w:rPr>
        <w:t>: Define la tabla de correspondencia legítima.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 xml:space="preserve">Si la usuaria </w:t>
      </w:r>
      <w:r>
        <w:rPr>
          <w:rFonts w:ascii="Consolas" w:hAnsi="Consolas"/>
          <w:color w:val="102C57"/>
          <w:sz w:val="18"/>
        </w:rPr>
        <w:t>secretaria</w:t>
      </w:r>
      <w:r>
        <w:rPr>
          <w:rFonts w:ascii="Calibri" w:hAnsi="Calibri"/>
          <w:color w:val="1E1E1E"/>
          <w:sz w:val="19"/>
        </w:rPr>
        <w:t xml:space="preserve"> intenta emitir como </w:t>
      </w:r>
      <w:r>
        <w:rPr>
          <w:rFonts w:ascii="Consolas" w:hAnsi="Consolas"/>
          <w:color w:val="102C57"/>
          <w:sz w:val="18"/>
        </w:rPr>
        <w:t>rosario.vaca@horizonte.internal</w:t>
      </w:r>
      <w:r>
        <w:rPr>
          <w:rFonts w:ascii="Calibri" w:hAnsi="Calibri"/>
          <w:color w:val="1E1E1E"/>
          <w:sz w:val="19"/>
        </w:rPr>
        <w:t>, Postfix intercepta la solicitud y devuelve el código de error:</w:t>
      </w:r>
    </w:p>
    <w:p>
      <w:pPr>
        <w:spacing w:before="20" w:after="60" w:line="276" w:lineRule="auto"/>
      </w:pPr>
      <w:r>
        <w:rPr>
          <w:rFonts w:ascii="Consolas" w:hAnsi="Consolas"/>
          <w:color w:val="102C57"/>
          <w:sz w:val="18"/>
        </w:rPr>
        <w:t>553 5.7.1 Sender address rejected: not owned by user secretaria</w:t>
      </w:r>
      <w:r>
        <w:rPr>
          <w:rFonts w:ascii="Calibri" w:hAnsi="Calibri"/>
          <w:color w:val="1E1E1E"/>
          <w:sz w:val="19"/>
        </w:rPr>
        <w:t>.</w:t>
      </w:r>
    </w:p>
    <w:p>
      <w:pPr>
        <w:spacing w:before="40" w:after="80"/>
      </w:pPr>
      <w:r>
        <w:rPr>
          <w:color w:val="B4C3D7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60" w:after="40"/>
      </w:pPr>
      <w:r>
        <w:rPr>
          <w:rFonts w:ascii="Calibri" w:hAnsi="Calibri"/>
          <w:b/>
          <w:color w:val="1E3C69"/>
          <w:sz w:val="21"/>
        </w:rPr>
        <w:t>Pregunta 7: ¿Por qué un correo legítimo puede ser catalogado como spam si carece de resolución inversa (PTR / FCrDNS)?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Respuesta Técnica: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>Los grandes proveedores de correo (Google, Microsoft, Yahoo) implementan la verificación *</w:t>
      </w:r>
      <w:r>
        <w:rPr>
          <w:rFonts w:ascii="Calibri" w:hAnsi="Calibri"/>
          <w:i/>
          <w:color w:val="1E1E1E"/>
          <w:sz w:val="19"/>
        </w:rPr>
        <w:t>FCrDNS (</w:t>
      </w:r>
      <w:r>
        <w:rPr>
          <w:rFonts w:ascii="Calibri" w:hAnsi="Calibri"/>
          <w:color w:val="1E1E1E"/>
          <w:sz w:val="19"/>
        </w:rPr>
        <w:t>Forward-Confirmed Reverse DNS</w:t>
      </w:r>
      <w:r>
        <w:rPr>
          <w:rFonts w:ascii="Calibri" w:hAnsi="Calibri"/>
          <w:i/>
          <w:color w:val="1E1E1E"/>
          <w:sz w:val="19"/>
        </w:rPr>
        <w:t>)</w:t>
      </w:r>
      <w:r>
        <w:rPr>
          <w:rFonts w:ascii="Calibri" w:hAnsi="Calibri"/>
          <w:color w:val="1E1E1E"/>
          <w:sz w:val="19"/>
        </w:rPr>
        <w:t>*: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1.  </w:t>
      </w:r>
      <w:r>
        <w:rPr>
          <w:rFonts w:ascii="Calibri" w:hAnsi="Calibri"/>
          <w:color w:val="1E1E1E"/>
          <w:sz w:val="19"/>
        </w:rPr>
        <w:t>Cuando un servidor de correo conecta a la IP de destino, el receptor consulta el DNS inverso (registro PTR) de la IP conectada.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2.  </w:t>
      </w:r>
      <w:r>
        <w:rPr>
          <w:rFonts w:ascii="Calibri" w:hAnsi="Calibri"/>
          <w:color w:val="1E1E1E"/>
          <w:sz w:val="19"/>
        </w:rPr>
        <w:t xml:space="preserve">Luego toma el nombre de host devuelto (ej. </w:t>
      </w:r>
      <w:r>
        <w:rPr>
          <w:rFonts w:ascii="Consolas" w:hAnsi="Consolas"/>
          <w:color w:val="102C57"/>
          <w:sz w:val="18"/>
        </w:rPr>
        <w:t>mail.horizonte.internal</w:t>
      </w:r>
      <w:r>
        <w:rPr>
          <w:rFonts w:ascii="Calibri" w:hAnsi="Calibri"/>
          <w:color w:val="1E1E1E"/>
          <w:sz w:val="19"/>
        </w:rPr>
        <w:t>) y realiza una consulta DNS directa (registro A) para comprobar si ese nombre resuelve exactamente a la misma IP de origen.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3.  </w:t>
      </w:r>
      <w:r>
        <w:rPr>
          <w:rFonts w:ascii="Calibri" w:hAnsi="Calibri"/>
          <w:color w:val="1E1E1E"/>
          <w:sz w:val="19"/>
        </w:rPr>
        <w:t xml:space="preserve">Finalmente, compara este nombre con el banner que el servidor emite en el comando </w:t>
      </w:r>
      <w:r>
        <w:rPr>
          <w:rFonts w:ascii="Consolas" w:hAnsi="Consolas"/>
          <w:color w:val="102C57"/>
          <w:sz w:val="18"/>
        </w:rPr>
        <w:t>HELO/EHLO</w:t>
      </w:r>
      <w:r>
        <w:rPr>
          <w:rFonts w:ascii="Calibri" w:hAnsi="Calibri"/>
          <w:color w:val="1E1E1E"/>
          <w:sz w:val="19"/>
        </w:rPr>
        <w:t>.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>Si la IP emisora no tiene registro PTR o si pertenece a un rango de IP dinámico/residencial, los filtros antispam asumen inmediatamente que se trata de una máquina zombie o botnet infectada enviando correo masivo, asignando una penalización severa o descartando la conexión antes del envío del cuerpo.</w:t>
      </w:r>
    </w:p>
    <w:p>
      <w:pPr>
        <w:spacing w:before="40" w:after="80"/>
      </w:pPr>
      <w:r>
        <w:rPr>
          <w:color w:val="B4C3D7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60" w:after="40"/>
      </w:pPr>
      <w:r>
        <w:rPr>
          <w:rFonts w:ascii="Calibri" w:hAnsi="Calibri"/>
          <w:b/>
          <w:color w:val="1E3C69"/>
          <w:sz w:val="21"/>
        </w:rPr>
        <w:t>Pregunta 8: ¿Cómo colaboran Postfix, Rspamd y ClamAV mediante el protocolo Milter?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Respuesta Técnica: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color w:val="1E1E1E"/>
          <w:sz w:val="19"/>
        </w:rPr>
        <w:t xml:space="preserve">Postfix se comunica con </w:t>
      </w:r>
      <w:r>
        <w:rPr>
          <w:rFonts w:ascii="Calibri" w:hAnsi="Calibri"/>
          <w:b/>
          <w:color w:val="1E1E1E"/>
          <w:sz w:val="19"/>
        </w:rPr>
        <w:t>Rspamd</w:t>
      </w:r>
      <w:r>
        <w:rPr>
          <w:rFonts w:ascii="Calibri" w:hAnsi="Calibri"/>
          <w:color w:val="1E1E1E"/>
          <w:sz w:val="19"/>
        </w:rPr>
        <w:t xml:space="preserve"> mediante el protocolo *</w:t>
      </w:r>
      <w:r>
        <w:rPr>
          <w:rFonts w:ascii="Calibri" w:hAnsi="Calibri"/>
          <w:i/>
          <w:color w:val="1E1E1E"/>
          <w:sz w:val="19"/>
        </w:rPr>
        <w:t>Milter (</w:t>
      </w:r>
      <w:r>
        <w:rPr>
          <w:rFonts w:ascii="Calibri" w:hAnsi="Calibri"/>
          <w:color w:val="1E1E1E"/>
          <w:sz w:val="19"/>
        </w:rPr>
        <w:t>Mail Filter</w:t>
      </w:r>
      <w:r>
        <w:rPr>
          <w:rFonts w:ascii="Calibri" w:hAnsi="Calibri"/>
          <w:i/>
          <w:color w:val="1E1E1E"/>
          <w:sz w:val="19"/>
        </w:rPr>
        <w:t>)</w:t>
      </w:r>
      <w:r>
        <w:rPr>
          <w:rFonts w:ascii="Calibri" w:hAnsi="Calibri"/>
          <w:color w:val="1E1E1E"/>
          <w:sz w:val="19"/>
        </w:rPr>
        <w:t xml:space="preserve">* en el puerto TCP </w:t>
      </w:r>
      <w:r>
        <w:rPr>
          <w:rFonts w:ascii="Consolas" w:hAnsi="Consolas"/>
          <w:color w:val="102C57"/>
          <w:sz w:val="18"/>
        </w:rPr>
        <w:t>inet:localhost:11332</w:t>
      </w:r>
      <w:r>
        <w:rPr>
          <w:rFonts w:ascii="Calibri" w:hAnsi="Calibri"/>
          <w:color w:val="1E1E1E"/>
          <w:sz w:val="19"/>
        </w:rPr>
        <w:t>. Durante la sesión SMTP (en tiempo real), Postfix pausa la transacción y transmite los metadatos y el contenido del correo a Rspamd.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color w:val="1E1E1E"/>
          <w:sz w:val="19"/>
        </w:rPr>
        <w:t>Rspamd ejecuta múltiples módulos concurrentes: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color w:val="1E1E1E"/>
          <w:sz w:val="19"/>
        </w:rPr>
        <w:t>Valida SPF, DKIM y DMARC.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color w:val="1E1E1E"/>
          <w:sz w:val="19"/>
        </w:rPr>
        <w:t>Consulta listas negras en tiempo real (DNSBL/RBL).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color w:val="1E1E1E"/>
          <w:sz w:val="19"/>
        </w:rPr>
        <w:t>Aplica análisis bayesiano estadístico de lenguaje.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color w:val="1E1E1E"/>
          <w:sz w:val="19"/>
        </w:rPr>
        <w:t xml:space="preserve">Extrae archivos adjuntos y los envía al daemon </w:t>
      </w:r>
      <w:r>
        <w:rPr>
          <w:rFonts w:ascii="Calibri" w:hAnsi="Calibri"/>
          <w:b/>
          <w:color w:val="1E1E1E"/>
          <w:sz w:val="19"/>
        </w:rPr>
        <w:t>ClamAV</w:t>
      </w:r>
      <w:r>
        <w:rPr>
          <w:rFonts w:ascii="Calibri" w:hAnsi="Calibri"/>
          <w:color w:val="1E1E1E"/>
          <w:sz w:val="19"/>
        </w:rPr>
        <w:t xml:space="preserve"> a través de su socket UNIX </w:t>
      </w:r>
      <w:r>
        <w:rPr>
          <w:rFonts w:ascii="Consolas" w:hAnsi="Consolas"/>
          <w:color w:val="102C57"/>
          <w:sz w:val="18"/>
        </w:rPr>
        <w:t>/var/run/clamav/clamd.ctl</w:t>
      </w:r>
      <w:r>
        <w:rPr>
          <w:rFonts w:ascii="Calibri" w:hAnsi="Calibri"/>
          <w:color w:val="1E1E1E"/>
          <w:sz w:val="19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Toma de decisiones: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color w:val="1E1E1E"/>
          <w:sz w:val="19"/>
        </w:rPr>
        <w:t xml:space="preserve">Si ClamAV detecta un virus o macro maliciosa, o si el score acumulado es $\ge 11.0$, Rspamd instruye a Postfix a rechazar el correo en plena sesión con código </w:t>
      </w:r>
      <w:r>
        <w:rPr>
          <w:rFonts w:ascii="Consolas" w:hAnsi="Consolas"/>
          <w:color w:val="102C57"/>
          <w:sz w:val="18"/>
        </w:rPr>
        <w:t>554 5.7.1</w:t>
      </w:r>
      <w:r>
        <w:rPr>
          <w:rFonts w:ascii="Calibri" w:hAnsi="Calibri"/>
          <w:color w:val="1E1E1E"/>
          <w:sz w:val="19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color w:val="1E1E1E"/>
          <w:sz w:val="19"/>
        </w:rPr>
        <w:t xml:space="preserve">Si el puntaje es intermedio (6.0 a 11.0), agrega la cabecera </w:t>
      </w:r>
      <w:r>
        <w:rPr>
          <w:rFonts w:ascii="Consolas" w:hAnsi="Consolas"/>
          <w:color w:val="102C57"/>
          <w:sz w:val="18"/>
        </w:rPr>
        <w:t>X-Spam: Yes</w:t>
      </w:r>
      <w:r>
        <w:rPr>
          <w:rFonts w:ascii="Calibri" w:hAnsi="Calibri"/>
          <w:color w:val="1E1E1E"/>
          <w:sz w:val="19"/>
        </w:rPr>
        <w:t xml:space="preserve"> para que Dovecot Sieve lo mueva a la carpeta </w:t>
      </w:r>
      <w:r>
        <w:rPr>
          <w:rFonts w:ascii="Calibri" w:hAnsi="Calibri"/>
          <w:i/>
          <w:color w:val="1E1E1E"/>
          <w:sz w:val="19"/>
        </w:rPr>
        <w:t>Junk</w:t>
      </w:r>
      <w:r>
        <w:rPr>
          <w:rFonts w:ascii="Calibri" w:hAnsi="Calibri"/>
          <w:color w:val="1E1E1E"/>
          <w:sz w:val="19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color w:val="1E1E1E"/>
          <w:sz w:val="19"/>
        </w:rPr>
        <w:t>Si el puntaje es menor a 6.0, el correo se entrega limpio en la bandeja de entrada.</w:t>
      </w:r>
    </w:p>
    <w:p>
      <w:pPr>
        <w:spacing w:before="40" w:after="80"/>
      </w:pPr>
      <w:r>
        <w:rPr>
          <w:color w:val="B4C3D7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160" w:after="40"/>
      </w:pPr>
      <w:r>
        <w:rPr>
          <w:rFonts w:ascii="Calibri" w:hAnsi="Calibri"/>
          <w:b/>
          <w:color w:val="1E3C69"/>
          <w:sz w:val="21"/>
        </w:rPr>
        <w:t>Pregunta 9: ¿Cómo se ejecuta una migración técnica sin pérdida de datos desde cuentas de Gmail personales hacia el nuevo servidor institucional?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•  </w:t>
      </w:r>
      <w:r>
        <w:rPr>
          <w:rFonts w:ascii="Calibri" w:hAnsi="Calibri"/>
          <w:b/>
          <w:color w:val="1E1E1E"/>
          <w:sz w:val="19"/>
        </w:rPr>
        <w:t>Respuesta Técnica:</w:t>
      </w:r>
    </w:p>
    <w:p>
      <w:pPr>
        <w:spacing w:before="20" w:after="60" w:line="276" w:lineRule="auto"/>
      </w:pPr>
      <w:r>
        <w:rPr>
          <w:rFonts w:ascii="Calibri" w:hAnsi="Calibri"/>
          <w:color w:val="1E1E1E"/>
          <w:sz w:val="19"/>
        </w:rPr>
        <w:t xml:space="preserve">El procedimiento técnico se basa en la herramienta de sincronización bidireccional </w:t>
      </w:r>
      <w:r>
        <w:rPr>
          <w:rFonts w:ascii="Calibri" w:hAnsi="Calibri"/>
          <w:b/>
          <w:color w:val="1E1E1E"/>
          <w:sz w:val="19"/>
        </w:rPr>
        <w:t>`imapsync`</w:t>
      </w:r>
      <w:r>
        <w:rPr>
          <w:rFonts w:ascii="Calibri" w:hAnsi="Calibri"/>
          <w:color w:val="1E1E1E"/>
          <w:sz w:val="19"/>
        </w:rPr>
        <w:t>: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1.  </w:t>
      </w:r>
      <w:r>
        <w:rPr>
          <w:rFonts w:ascii="Calibri" w:hAnsi="Calibri"/>
          <w:b/>
          <w:color w:val="1E1E1E"/>
          <w:sz w:val="19"/>
        </w:rPr>
        <w:t>Aprovisionamiento previo:</w:t>
      </w:r>
      <w:r>
        <w:rPr>
          <w:rFonts w:ascii="Calibri" w:hAnsi="Calibri"/>
          <w:color w:val="1E1E1E"/>
          <w:sz w:val="19"/>
        </w:rPr>
        <w:t xml:space="preserve"> Se crean los buzones en Dovecot (</w:t>
      </w:r>
      <w:r>
        <w:rPr>
          <w:rFonts w:ascii="Consolas" w:hAnsi="Consolas"/>
          <w:color w:val="102C57"/>
          <w:sz w:val="18"/>
        </w:rPr>
        <w:t>nombres.apellidos@horizonte.internal</w:t>
      </w:r>
      <w:r>
        <w:rPr>
          <w:rFonts w:ascii="Calibri" w:hAnsi="Calibri"/>
          <w:color w:val="1E1E1E"/>
          <w:sz w:val="19"/>
        </w:rPr>
        <w:t>) con su estructura Maildir correspondiente.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2.  </w:t>
      </w:r>
      <w:r>
        <w:rPr>
          <w:rFonts w:ascii="Calibri" w:hAnsi="Calibri"/>
          <w:b/>
          <w:color w:val="1E1E1E"/>
          <w:sz w:val="19"/>
        </w:rPr>
        <w:t>Extracción y Sincronización:</w:t>
      </w:r>
      <w:r>
        <w:rPr>
          <w:rFonts w:ascii="Calibri" w:hAnsi="Calibri"/>
          <w:color w:val="1E1E1E"/>
          <w:sz w:val="19"/>
        </w:rPr>
        <w:t xml:space="preserve"> Se ejecuta </w:t>
      </w:r>
      <w:r>
        <w:rPr>
          <w:rFonts w:ascii="Consolas" w:hAnsi="Consolas"/>
          <w:color w:val="102C57"/>
          <w:sz w:val="18"/>
        </w:rPr>
        <w:t>imapsync</w:t>
      </w:r>
      <w:r>
        <w:rPr>
          <w:rFonts w:ascii="Calibri" w:hAnsi="Calibri"/>
          <w:color w:val="1E1E1E"/>
          <w:sz w:val="19"/>
        </w:rPr>
        <w:t xml:space="preserve"> conectando simultáneamente al servidor origen (Gmail IMAP vía SSL puerto 993 con App Password) y al servidor local Dovecot (puerto 993 con certificado institucional). </w:t>
      </w:r>
      <w:r>
        <w:rPr>
          <w:rFonts w:ascii="Consolas" w:hAnsi="Consolas"/>
          <w:color w:val="102C57"/>
          <w:sz w:val="18"/>
        </w:rPr>
        <w:t>imapsync</w:t>
      </w:r>
      <w:r>
        <w:rPr>
          <w:rFonts w:ascii="Calibri" w:hAnsi="Calibri"/>
          <w:color w:val="1E1E1E"/>
          <w:sz w:val="19"/>
        </w:rPr>
        <w:t xml:space="preserve"> copia todas las carpetas, banderas (leído/no leído) y archivos adjuntos preservando los timestamps originales (</w:t>
      </w:r>
      <w:r>
        <w:rPr>
          <w:rFonts w:ascii="Consolas" w:hAnsi="Consolas"/>
          <w:color w:val="102C57"/>
          <w:sz w:val="18"/>
        </w:rPr>
        <w:t>RFC 2822</w:t>
      </w:r>
      <w:r>
        <w:rPr>
          <w:rFonts w:ascii="Calibri" w:hAnsi="Calibri"/>
          <w:color w:val="1E1E1E"/>
          <w:sz w:val="19"/>
        </w:rPr>
        <w:t>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3.  </w:t>
      </w:r>
      <w:r>
        <w:rPr>
          <w:rFonts w:ascii="Calibri" w:hAnsi="Calibri"/>
          <w:b/>
          <w:color w:val="1E1E1E"/>
          <w:sz w:val="19"/>
        </w:rPr>
        <w:t>Sincronización diferencial:</w:t>
      </w:r>
      <w:r>
        <w:rPr>
          <w:rFonts w:ascii="Calibri" w:hAnsi="Calibri"/>
          <w:color w:val="1E1E1E"/>
          <w:sz w:val="19"/>
        </w:rPr>
        <w:t xml:space="preserve"> Durante la fase de convivencia de 30 días, se programa una tarea cron que ejecuta </w:t>
      </w:r>
      <w:r>
        <w:rPr>
          <w:rFonts w:ascii="Consolas" w:hAnsi="Consolas"/>
          <w:color w:val="102C57"/>
          <w:sz w:val="18"/>
        </w:rPr>
        <w:t>imapsync</w:t>
      </w:r>
      <w:r>
        <w:rPr>
          <w:rFonts w:ascii="Calibri" w:hAnsi="Calibri"/>
          <w:color w:val="1E1E1E"/>
          <w:sz w:val="19"/>
        </w:rPr>
        <w:t xml:space="preserve"> cada medianoche para transferir únicamente los correos nuevos que hayan seguido llegando a la cuenta vieja.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4.  </w:t>
      </w:r>
      <w:r>
        <w:rPr>
          <w:rFonts w:ascii="Calibri" w:hAnsi="Calibri"/>
          <w:b/>
          <w:color w:val="1E1E1E"/>
          <w:sz w:val="19"/>
        </w:rPr>
        <w:t>Respuesta automática:</w:t>
      </w:r>
      <w:r>
        <w:rPr>
          <w:rFonts w:ascii="Calibri" w:hAnsi="Calibri"/>
          <w:color w:val="1E1E1E"/>
          <w:sz w:val="19"/>
        </w:rPr>
        <w:t xml:space="preserve"> Se configura un auto-responder en Gmail informando a los contactos externos el cambio de domicilio postal electrónico oficial.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02C57"/>
        </w:rPr>
        <w:t xml:space="preserve">5.  </w:t>
      </w:r>
      <w:r>
        <w:rPr>
          <w:rFonts w:ascii="Calibri" w:hAnsi="Calibri"/>
          <w:b/>
          <w:color w:val="1E1E1E"/>
          <w:sz w:val="19"/>
        </w:rPr>
        <w:t>Cierre:</w:t>
      </w:r>
      <w:r>
        <w:rPr>
          <w:rFonts w:ascii="Calibri" w:hAnsi="Calibri"/>
          <w:color w:val="1E1E1E"/>
          <w:sz w:val="19"/>
        </w:rPr>
        <w:t xml:space="preserve"> Al día 46, se desconecta el reenvío y la organización opera exclusivamente bajo la infraestructura propia con copias de respaldo automatizadas en Restic.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