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32"/>
        </w:rPr>
        <w:t>Laboratorio 12: Servidor de Correo Electrónico Institucional con Postfix</w:t>
        <w:br/>
        <w:t>Arquitectura MTA, Formato Maildir, Prevención de Open Relay, DNS MX/PTR y Cifrado STARTTLS</w:t>
      </w:r>
    </w:p>
    <w:p>
      <w:pPr>
        <w:spacing w:before="40" w:after="60" w:line="276" w:lineRule="auto"/>
      </w:pPr>
      <w:r>
        <w:rPr>
          <w:rFonts w:ascii="Calibri" w:hAnsi="Calibri"/>
          <w:i/>
          <w:color w:val="464646"/>
          <w:sz w:val="19"/>
        </w:rPr>
        <w:t>Estudiante: Ketfer Gianella Salazar   |   Fecha de Entrega: 25 de Octubre de 2026</w:t>
        <w:br/>
        <w:t>Docente: M.Sc. Ing. Jimmy Nataniel Requena Llorentty   |   Asignatura: Tecnología Web I (SIS-0150)</w:t>
        <w:br/>
        <w:t>Entorno de Laboratorio: Red Docker red_dns (mail 10.10.10.25, mail2 10.10.10.26)   |   Universidad Privada Domingo Savio</w:t>
      </w:r>
    </w:p>
    <w:p>
      <w:pPr>
        <w:spacing w:before="0" w:after="12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1. Parte A — Infraestructura DNS del Servicio de Correo (Nodo Cliente)</w:t>
      </w:r>
    </w:p>
    <w:p>
      <w:pPr>
        <w:spacing w:line="276" w:lineRule="auto" w:after="60"/>
      </w:pPr>
      <w:r>
        <w:rPr>
          <w:b/>
        </w:rPr>
        <w:t xml:space="preserve">• Consultas de verificación en el nodo cliente: </w:t>
      </w:r>
      <w:r>
        <w:t>El funcionamiento correcto de un Agente de Transferencia de Correo (MTA) depende críticamente de una configuración DNS impecable. Desde el nodo cliente se auditaron los registros necesarios para el enrutamiento y validación de reputación: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Comando Ejecutado</w:t>
            </w:r>
          </w:p>
        </w:tc>
        <w:tc>
          <w:tcPr>
            <w:tcW w:type="dxa" w:w="288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Obtenido</w:t>
            </w:r>
          </w:p>
        </w:tc>
        <w:tc>
          <w:tcPr>
            <w:tcW w:type="dxa" w:w="3600"/>
            <w:shd w:fill="102C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Información que Aporta</w:t>
            </w:r>
          </w:p>
        </w:tc>
      </w:tr>
      <w:tr>
        <w:trPr>
          <w:cantSplit/>
        </w:trPr>
        <w:tc>
          <w:tcPr>
            <w:tcW w:type="dxa" w:w="360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dig +short horizonte.internal MX</w:t>
            </w:r>
          </w:p>
        </w:tc>
        <w:tc>
          <w:tcPr>
            <w:tcW w:type="dxa" w:w="288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10 mail.horizonte.internal.</w:t>
            </w:r>
          </w:p>
        </w:tc>
        <w:tc>
          <w:tcPr>
            <w:tcW w:type="dxa" w:w="360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Prioridad y FQDN del servidor de correo del colegio.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dig +short familia.internal MX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10 mail.familia.internal.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Prioridad y FQDN del servidor de correo externo simulado.</w:t>
            </w:r>
          </w:p>
        </w:tc>
      </w:tr>
      <w:tr>
        <w:trPr>
          <w:cantSplit/>
        </w:trPr>
        <w:tc>
          <w:tcPr>
            <w:tcW w:type="dxa" w:w="360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dig +short mail.horizonte.internal A</w:t>
            </w:r>
          </w:p>
        </w:tc>
        <w:tc>
          <w:tcPr>
            <w:tcW w:type="dxa" w:w="288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10.10.10.25</w:t>
            </w:r>
          </w:p>
        </w:tc>
        <w:tc>
          <w:tcPr>
            <w:tcW w:type="dxa" w:w="360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Dirección IPv4 donde escucha el socket TCP puerto 25.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dig +short -x 10.10.10.25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mail.tw1-dns_horizonte.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PTR del resolver interno de Docker (127.0.0.11).</w:t>
            </w:r>
          </w:p>
        </w:tc>
      </w:tr>
      <w:tr>
        <w:trPr>
          <w:cantSplit/>
        </w:trPr>
        <w:tc>
          <w:tcPr>
            <w:tcW w:type="dxa" w:w="360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dig +short @10.10.10.4 -x 10.10.10.25</w:t>
            </w:r>
          </w:p>
        </w:tc>
        <w:tc>
          <w:tcPr>
            <w:tcW w:type="dxa" w:w="288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mail.horizonte.internal.</w:t>
            </w:r>
          </w:p>
        </w:tc>
        <w:tc>
          <w:tcPr>
            <w:tcW w:type="dxa" w:w="3600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1E1E"/>
                <w:sz w:val="16"/>
              </w:rPr>
              <w:t>PTR canónico oficial del resolutor institucional Unbound.</w:t>
            </w:r>
          </w:p>
        </w:tc>
      </w:tr>
    </w:tbl>
    <w:p>
      <w:pPr>
        <w:spacing w:line="276" w:lineRule="auto" w:after="60"/>
      </w:pPr>
      <w:r>
        <w:rPr>
          <w:b/>
        </w:rPr>
        <w:t xml:space="preserve">1. ¿Por qué los dos PTR son distintos? </w:t>
      </w:r>
      <w:r>
        <w:t>El primer comando consulta al servidor DNS predeterminado del contenedor (el resolver de red interna de Docker en 127.0.0.11), que devuelve el nombre del contenedor en el bridge (mail.tw1-dns_horizonte.). El segundo comando consulta de forma explícita al resolutor Unbound del colegio (10.10.10.4), que a su vez consulta autoritativamente a BIND9 (ns1), resolviendo el registro PTR oficial configurado en la zona inversa 10.10.10.in-addr.arpa (mail.horizonte.internal.).</w:t>
        <w:br/>
      </w:r>
      <w:r>
        <w:rPr>
          <w:b/>
        </w:rPr>
        <w:t xml:space="preserve">2. ¿Para qué necesita un servidor de correo un MX, un A y un PTR? </w:t>
      </w:r>
      <w:r>
        <w:t>El MX indica qué servidor recibe correo para un dominio; el registro A resuelve la IP de ese servidor para abrir la conexión TCP 25; y el registro PTR es mandatorio para la reputación antispam (FCrDNS), demostrando al servidor destinatario que el remitente no es una IP residencial o spammer, evitando el rechazo o desvío a correo no deseado.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6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ns_mx_a_ptr_cli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1: Consultas de registros DNS de correo (MX, A y PTR) ejecutadas en el nodo cliente resolviendo horizonte.internal y familia.internal.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2. Parte B — Configuración de Postfix, Mitigación de Open Relay y Alias</w:t>
      </w:r>
    </w:p>
    <w:p>
      <w:pPr>
        <w:spacing w:line="276" w:lineRule="auto" w:after="60"/>
      </w:pPr>
      <w:r>
        <w:rPr>
          <w:b/>
        </w:rPr>
        <w:t>• El peligro crítico de un Open Relay:</w:t>
        <w:br/>
      </w:r>
      <w:r>
        <w:t>Inicialmente, la directiva mynetworks estaba abierta a 0.0.0.0/0. Esto convertía al servidor en un "Open Relay" (retransmisor abierto), permitiendo que cualquier persona en Internet reenviara correo a través del servidor hacia terceros sin autenticación. El riesgo es catastrófico: los atacantes detectan estos servidores en minutos y envían millones de correos masivos de phishing y spam. Como consecuencia, la dirección IP del colegio es bloqueada en todas las listas negras mundiales (Spamhaus, Barracuda, etc.).</w:t>
        <w:br/>
        <w:t>Tras corregir mynetworks = 127.0.0.0/8, 10.10.10.50/32, el intento de retransmisión desde fuera fue exitosamente rechazado con:</w:t>
        <w:br/>
        <w:t>&lt;** 554 5.7.1 &lt;rosa.mamani@familia.internal&gt;: Relay access denied.</w:t>
        <w:br/>
      </w:r>
      <w:r>
        <w:rPr>
          <w:b/>
        </w:rPr>
        <w:t>• Diferencia entre mydestination y mynetworks:</w:t>
        <w:br/>
      </w:r>
      <w:r>
        <w:t>mydestination define los dominios para los cuales este servidor es el destino final (los correos se depositan localmente en Maildir/). mynetworks define las IPs y subredes autorizadas a usar el servidor como puente (relay) para enviar hacia dominios externos.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4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lay_rechazado_y_postcon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2: Prueba de relay no autorizado rechazada con código 554 5.7.1 y verificación de parámetros activos en Postfix con postconf -n.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3. Parte C — Sesión SMTP "a mano" con Netcat (Protocolo ESMTP)</w:t>
      </w:r>
    </w:p>
    <w:p>
      <w:pPr>
        <w:spacing w:line="276" w:lineRule="auto" w:after="60"/>
      </w:pPr>
      <w:r>
        <w:rPr>
          <w:b/>
        </w:rPr>
        <w:t xml:space="preserve">• Demostración interactiva mediante netcat: </w:t>
      </w:r>
      <w:r>
        <w:t>Desde el nodo cliente se inyectó una transacción SMTP completa hacia mail.horizonte.internal:25, analizando el flujo conversacional y los códigos de respuesta del protocolo:</w:t>
        <w:br/>
        <w:t>1. 220: Saludo inicial del servicio ESMTP listo para interactuar.</w:t>
        <w:br/>
        <w:t>2. 250: Códigos de confirmación exitosa para EHLO, MAIL FROM (sobre) y RCPT TO (destinatario local válido).</w:t>
        <w:br/>
        <w:t>3. 354: Autorización para enviar el bloque DATA; el servidor espera el contenido hasta recibir un punto solitario (.) en una línea.</w:t>
        <w:br/>
        <w:t>4. 250 2.0.0 Ok: queued as [ID]: Notificación formal de mensaje recibido y encolado para entrega.</w:t>
        <w:br/>
        <w:t>5. 221 2.0.0 Bye: Despedida y cierre ordenado de la sesión TCP.</w:t>
        <w:br/>
      </w:r>
      <w:r>
        <w:rPr>
          <w:b/>
        </w:rPr>
        <w:t xml:space="preserve">• Higiene y anti-enumeración de usuarios (Comando VRFY): </w:t>
      </w:r>
      <w:r>
        <w:t>El comando VRFY fue desactivado mediante disable_vrfy_command = yes. Con esto, Postfix no anuncia 250-VRFY en EHLO y responde 502 Command disabled ante cualquier intento de consulta, impidiendo que ciberatacantes descubran qué cuentas existen en el colegio.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54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mtp_a_mano_netc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3: Demostración interactiva de sesión SMTP manual con Netcat verificando códigos de respuesta 220, 250, 354 y encolamiento.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4. Partes D y E — Trazabilidad en Logs, Buzones Maildir y Seguridad STARTTLS</w:t>
      </w:r>
    </w:p>
    <w:p>
      <w:pPr>
        <w:spacing w:line="276" w:lineRule="auto" w:after="60"/>
      </w:pPr>
      <w:r>
        <w:rPr>
          <w:b/>
        </w:rPr>
        <w:t>1. Análisis de entrega en /var/log/mail.log:</w:t>
        <w:br/>
      </w:r>
      <w:r>
        <w:t>Al enviar un correo hacia rosa.mamani@familia.internal, el registro capturó:</w:t>
        <w:br/>
        <w:t>relay=mail.familia.internal[10.10.10.26]:25, delay=0.08, dsn=2.0.0, status=sent (250 Ok: queued as...).</w:t>
        <w:br/>
        <w:t>Esto certifica que Postfix resolvió el MX de familia.internal, conectó a su IP 10.10.10.26 y entregó el mensaje en 80 milisegundos con éxito total.</w:t>
        <w:br/>
      </w:r>
      <w:r>
        <w:rPr>
          <w:b/>
        </w:rPr>
        <w:t>2. Buzón Maildir y bifurcación por Alias:</w:t>
        <w:br/>
      </w:r>
      <w:r>
        <w:t>Al enviar a inscripciones@horizonte.internal, el alias configurado en /etc/aliases lo bifurcó entregándolo a la vez a secretaria y direccion (rosario.vaca). El formato home_mailbox = Maildir/ almacena cada correo en un archivo independiente en Maildir/new/, evitando bloqueos de concurrencia de mbox.</w:t>
        <w:br/>
      </w:r>
      <w:r>
        <w:rPr>
          <w:b/>
        </w:rPr>
        <w:t>3. Cifrado en tránsito STARTTLS con TLSv1.3:</w:t>
        <w:br/>
      </w:r>
      <w:r>
        <w:t>La auditoría con openssl s_client -starttls smtp demostró la negociación de TLSv1.3 con la suite simétrica de 256 bits TLS_AES_256_GCM_SHA384. Bajo el modelo de TLS Oportunista (RFC 3207), los servidores SMTP aceptan certificados de prueba o autofirmados porque la prioridad de la arquitectura de correo mundial es la entrega garantizada y el cifrado del canal contra espionaje pasivo.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957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_mail_y_starttls_openss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4: Trazabilidad de entrega en /var/log/mail.log (status=sent) y negociación de cifrado TLSv1.3 con OpenSSL s_client.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5. Parte F — Verificación Oficial Automatizada (12 de 12)</w:t>
      </w:r>
    </w:p>
    <w:p>
      <w:pPr>
        <w:spacing w:line="276" w:lineRule="auto" w:after="60"/>
      </w:pPr>
      <w:r>
        <w:t>Se ejecutó el script oficial de auditoría institucional verificar_lab12.sh en el contenedor mail. El resultado certificó el 100% de cumplimiento en las 12 comprobaciones exigidas: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# Ejecución oficial del script de verificación institucional</w:t>
              <w:br/>
              <w:t>root@mail:/# bash /lab/lab12/verificar_lab12.sh</w:t>
              <w:br/>
              <w:t>✅ postfix check sin errores</w:t>
              <w:br/>
              <w:t>✅ Postfix activo y escuchando en el puerto 25</w:t>
              <w:br/>
              <w:t>✅ El MX de horizonte.internal apunta a este servidor</w:t>
              <w:br/>
              <w:t>✅ Acepta horizonte.internal como destino final</w:t>
              <w:br/>
              <w:t>✅ mynetworks NO está abierta a toda la red</w:t>
              <w:br/>
              <w:t>✅ Entrega local en Maildir</w:t>
              <w:br/>
              <w:t>✅ Alias inscripciones → secretaria y dirección</w:t>
              <w:br/>
              <w:t>✅ Relay desde fuera rechazado (554 Relay access denied)</w:t>
              <w:br/>
              <w:t>✅ Envío a otro dominio por su MX (familia.internal)</w:t>
              <w:br/>
              <w:t>✅ VRFY desactivado (no revela usuarios)</w:t>
              <w:br/>
              <w:t>✅ Ofrece STARTTLS</w:t>
              <w:br/>
              <w:t>✅ Saludo sin versión del sistema</w:t>
              <w:br/>
              <w:t>Resultado: 12 de 12 comprobaciones (100% SUPERADO)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10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rificacion_12_de_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A5A5A"/>
          <w:sz w:val="17"/>
        </w:rPr>
        <w:t>Figura 5: Ejecución oficial de verificar_lab12.sh certificando las 12 comprobaciones superadas con éxito.</w:t>
      </w:r>
    </w:p>
    <w:p>
      <w:pPr>
        <w:pStyle w:val="Heading1"/>
        <w:keepNext/>
        <w:spacing w:before="160" w:after="40"/>
      </w:pPr>
      <w:r>
        <w:rPr>
          <w:rFonts w:ascii="Calibri" w:hAnsi="Calibri"/>
          <w:b/>
          <w:color w:val="102C57"/>
          <w:sz w:val="24"/>
        </w:rPr>
        <w:t>6. Reflexión: Correo Gestionado (SaaS) vs Servidor Propio On-Premise</w:t>
      </w:r>
    </w:p>
    <w:p>
      <w:pPr>
        <w:spacing w:line="276" w:lineRule="auto" w:after="60"/>
      </w:pPr>
      <w:r>
        <w:rPr>
          <w:b/>
        </w:rPr>
        <w:t>¿Por qué predomina el correo gestionado y cuándo tiene sentido operar un servidor propio?</w:t>
        <w:br/>
      </w:r>
      <w:r>
        <w:t>La gran mayoría de las organizaciones migran a suites como Google Workspace o Microsoft 365 porque el desafío crítico en el correo electrónico moderno no reside en la instalación de Postfix, sino en la gestión continua de la reputación IP y entregabilidad. Mantener una IP fuera de listas negras mundiales (RBL/DNSBL), lidiar con políticas cambiantes de DMARC/DKIM/SPF de los gigantes tecnológicos y proveer filtrado antispam basado en machine learning requiere especialistas dedicados 24/7. Las plataformas SaaS ofrecen 99.99% de SLA sin sobrecarga operativa.</w:t>
        <w:br/>
        <w:br/>
        <w:t>No obstante, operar un servidor propio tiene sentido ineludible en:</w:t>
        <w:br/>
        <w:t>1. Soberanía de Datos y Cumplimiento Legal: Entidades estatales, militares, bancarias o de salud cuyas leyes exigen custodia física de datos en territorio nacional.</w:t>
        <w:br/>
        <w:t>2. Entornos Aislados e Intranets: Redes de campus, mineras o plantas industriales que requieren mensajería interna inmediata sin depender de conexión a Internet.</w:t>
        <w:br/>
        <w:t>3. Privacidad Absoluta y Cero Dependencia de Licencias: Evitar que correos institucionales sean indexados o dependan de costes crecientes por suscripción.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