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80"/>
      </w:pPr>
      <w:r>
        <w:rPr>
          <w:rFonts w:ascii="Calibri" w:hAnsi="Calibri"/>
          <w:b/>
          <w:color w:val="102C57"/>
          <w:sz w:val="30"/>
        </w:rPr>
        <w:t>BITÁCORA DE INTELIGENCIA ARTIFICIAL: REGISTRO DE CONSULTAS, VALIDACIÓN CRIPTOGRÁFICA Y AUTOMATIZACIÓN DE INFRAESTRUCTURA DNS CON BIND9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Actividad 2: DNS Moderno con BIND9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Asignatura:</w:t>
      </w:r>
      <w:r>
        <w:rPr>
          <w:rFonts w:ascii="Calibri" w:hAnsi="Calibri"/>
          <w:color w:val="1E1E1E"/>
          <w:sz w:val="19"/>
        </w:rPr>
        <w:t xml:space="preserve"> Tecnología Web I (SIS-0150)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Institución:</w:t>
      </w:r>
      <w:r>
        <w:rPr>
          <w:rFonts w:ascii="Calibri" w:hAnsi="Calibri"/>
          <w:color w:val="1E1E1E"/>
          <w:sz w:val="19"/>
        </w:rPr>
        <w:t xml:space="preserve"> Universidad Privada Domingo Savio (UPDS) — Facultad de Ciencias y Tecnología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Autores: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1.  </w:t>
      </w:r>
      <w:r>
        <w:rPr>
          <w:rFonts w:ascii="Calibri" w:hAnsi="Calibri"/>
          <w:b/>
          <w:color w:val="1E1E1E"/>
          <w:sz w:val="19"/>
        </w:rPr>
        <w:t>Charles Yourdan Conde Ugarteche</w:t>
      </w:r>
      <w:r>
        <w:rPr>
          <w:rFonts w:ascii="Calibri" w:hAnsi="Calibri"/>
          <w:color w:val="1E1E1E"/>
          <w:sz w:val="19"/>
        </w:rPr>
        <w:t xml:space="preserve"> (Coordinador)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2.  </w:t>
      </w:r>
      <w:r>
        <w:rPr>
          <w:rFonts w:ascii="Calibri" w:hAnsi="Calibri"/>
          <w:b/>
          <w:color w:val="1E1E1E"/>
          <w:sz w:val="19"/>
        </w:rPr>
        <w:t>Brian Alejandro Calás Despaigne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3.  </w:t>
      </w:r>
      <w:r>
        <w:rPr>
          <w:rFonts w:ascii="Calibri" w:hAnsi="Calibri"/>
          <w:b/>
          <w:color w:val="1E1E1E"/>
          <w:sz w:val="19"/>
        </w:rPr>
        <w:t>Ketfer Gianella Salazar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4.  </w:t>
      </w:r>
      <w:r>
        <w:rPr>
          <w:rFonts w:ascii="Calibri" w:hAnsi="Calibri"/>
          <w:b/>
          <w:color w:val="1E1E1E"/>
          <w:sz w:val="19"/>
        </w:rPr>
        <w:t>Marco Aurelio Barriga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5.  </w:t>
      </w:r>
      <w:r>
        <w:rPr>
          <w:rFonts w:ascii="Calibri" w:hAnsi="Calibri"/>
          <w:b/>
          <w:color w:val="1E1E1E"/>
          <w:sz w:val="19"/>
        </w:rPr>
        <w:t>Adaniel Balderrama Orellana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Docente Evaluador: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M.Sc. Ing. Jimmy Nataniel Requena Llorentty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Fecha: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18 de Octubre de 2026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Repositorio Oficial de Código (GitHub):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[https://github.com/Grupo-Kali-Linuxxxx/DNS-moderno-con-BIND9](https://github.com/Grupo-Kali-Linuxxxx/DNS-moderno-con-BIND9)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20" w:after="60"/>
      </w:pPr>
      <w:r>
        <w:rPr>
          <w:rFonts w:ascii="Calibri" w:hAnsi="Calibri"/>
          <w:b/>
          <w:color w:val="102C57"/>
          <w:sz w:val="25"/>
        </w:rPr>
        <w:t>1. Declaración de Uso Ético y Metodología de IA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En concordancia con los lineamientos de evaluación institucional y la normativa ética de la Universidad Privada Domingo Savio, el uso de herramientas de Inteligencia Artificial Generativa se limitó estrictamente a labores de: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1.  </w:t>
      </w:r>
      <w:r>
        <w:rPr>
          <w:rFonts w:ascii="Calibri" w:hAnsi="Calibri"/>
          <w:b/>
          <w:color w:val="1E1E1E"/>
          <w:sz w:val="19"/>
        </w:rPr>
        <w:t>Asistencia técnica conceptual:</w:t>
      </w:r>
      <w:r>
        <w:rPr>
          <w:rFonts w:ascii="Calibri" w:hAnsi="Calibri"/>
          <w:color w:val="1E1E1E"/>
          <w:sz w:val="19"/>
        </w:rPr>
        <w:t xml:space="preserve"> Explicación matemática de algoritmos de serialización SOA (RFC 1982) y firmas criptográficas TSIG (RFC 2845).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2.  </w:t>
      </w:r>
      <w:r>
        <w:rPr>
          <w:rFonts w:ascii="Calibri" w:hAnsi="Calibri"/>
          <w:b/>
          <w:color w:val="1E1E1E"/>
          <w:sz w:val="19"/>
        </w:rPr>
        <w:t>Depuración y análisis de sintaxis:</w:t>
      </w:r>
      <w:r>
        <w:rPr>
          <w:rFonts w:ascii="Calibri" w:hAnsi="Calibri"/>
          <w:color w:val="1E1E1E"/>
          <w:sz w:val="19"/>
        </w:rPr>
        <w:t xml:space="preserve"> Interpretación de mensajes de error de </w:t>
      </w:r>
      <w:r>
        <w:rPr>
          <w:rFonts w:ascii="Consolas" w:hAnsi="Consolas"/>
          <w:color w:val="102C57"/>
          <w:sz w:val="18"/>
        </w:rPr>
        <w:t>named-checkzone</w:t>
      </w:r>
      <w:r>
        <w:rPr>
          <w:rFonts w:ascii="Calibri" w:hAnsi="Calibri"/>
          <w:color w:val="1E1E1E"/>
          <w:sz w:val="19"/>
        </w:rPr>
        <w:t xml:space="preserve"> y opciones de seguridad en BIND 9.18.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3.  </w:t>
      </w:r>
      <w:r>
        <w:rPr>
          <w:rFonts w:ascii="Calibri" w:hAnsi="Calibri"/>
          <w:b/>
          <w:color w:val="1E1E1E"/>
          <w:sz w:val="19"/>
        </w:rPr>
        <w:t>Optimización de scripts de auditoría:</w:t>
      </w:r>
      <w:r>
        <w:rPr>
          <w:rFonts w:ascii="Calibri" w:hAnsi="Calibri"/>
          <w:color w:val="1E1E1E"/>
          <w:sz w:val="19"/>
        </w:rPr>
        <w:t xml:space="preserve"> Estructuración modular y manejo de trampas (</w:t>
      </w:r>
      <w:r>
        <w:rPr>
          <w:rFonts w:ascii="Calibri" w:hAnsi="Calibri"/>
          <w:i/>
          <w:color w:val="1E1E1E"/>
          <w:sz w:val="19"/>
        </w:rPr>
        <w:t>traps</w:t>
      </w:r>
      <w:r>
        <w:rPr>
          <w:rFonts w:ascii="Calibri" w:hAnsi="Calibri"/>
          <w:color w:val="1E1E1E"/>
          <w:sz w:val="19"/>
        </w:rPr>
        <w:t>) de señales en Bash para el script de verificación automatizada.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Toda sugerencia o bloque de código provisto por la IA fue rigurosamente contrastado y validado de manera empírica en el laboratorio con las herramientas oficiales del estándar DNS (</w:t>
      </w:r>
      <w:r>
        <w:rPr>
          <w:rFonts w:ascii="Consolas" w:hAnsi="Consolas"/>
          <w:color w:val="102C57"/>
          <w:sz w:val="18"/>
        </w:rPr>
        <w:t>dig</w:t>
      </w:r>
      <w:r>
        <w:rPr>
          <w:rFonts w:ascii="Calibri" w:hAnsi="Calibri"/>
          <w:color w:val="1E1E1E"/>
          <w:sz w:val="19"/>
        </w:rPr>
        <w:t xml:space="preserve">, </w:t>
      </w:r>
      <w:r>
        <w:rPr>
          <w:rFonts w:ascii="Consolas" w:hAnsi="Consolas"/>
          <w:color w:val="102C57"/>
          <w:sz w:val="18"/>
        </w:rPr>
        <w:t>named-checkconf</w:t>
      </w:r>
      <w:r>
        <w:rPr>
          <w:rFonts w:ascii="Calibri" w:hAnsi="Calibri"/>
          <w:color w:val="1E1E1E"/>
          <w:sz w:val="19"/>
        </w:rPr>
        <w:t xml:space="preserve">, </w:t>
      </w:r>
      <w:r>
        <w:rPr>
          <w:rFonts w:ascii="Consolas" w:hAnsi="Consolas"/>
          <w:color w:val="102C57"/>
          <w:sz w:val="18"/>
        </w:rPr>
        <w:t>named-checkzone</w:t>
      </w:r>
      <w:r>
        <w:rPr>
          <w:rFonts w:ascii="Calibri" w:hAnsi="Calibri"/>
          <w:color w:val="1E1E1E"/>
          <w:sz w:val="19"/>
        </w:rPr>
        <w:t xml:space="preserve"> y </w:t>
      </w:r>
      <w:r>
        <w:rPr>
          <w:rFonts w:ascii="Consolas" w:hAnsi="Consolas"/>
          <w:color w:val="102C57"/>
          <w:sz w:val="18"/>
        </w:rPr>
        <w:t>journalctl</w:t>
      </w:r>
      <w:r>
        <w:rPr>
          <w:rFonts w:ascii="Calibri" w:hAnsi="Calibri"/>
          <w:color w:val="1E1E1E"/>
          <w:sz w:val="19"/>
        </w:rPr>
        <w:t>).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20" w:after="60"/>
      </w:pPr>
      <w:r>
        <w:rPr>
          <w:rFonts w:ascii="Calibri" w:hAnsi="Calibri"/>
          <w:b/>
          <w:color w:val="102C57"/>
          <w:sz w:val="25"/>
        </w:rPr>
        <w:t>2. Registro Cronológico de Interacción con la IA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Sesión 1: Modelado de Registros y Trampa del Punto Final en Zonas Inversas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Prompt enviado a la 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3C4655"/>
                <w:sz w:val="18"/>
              </w:rPr>
              <w:t>"En BIND9, ¿por qué es obligatorio colocar el punto final al final del FQDN en un registro PTR dentro de una zona inversa `10.10.10.in-addr.arpa`, y qué error se produce en producción si se omite?"</w:t>
            </w:r>
          </w:p>
        </w:tc>
      </w:tr>
    </w:tbl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Respuesta y Síntesis de la IA: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La IA explicó la mecánica de expansión de nombres del RFC 1035: cualquier etiqueta que carezca de un punto final es interpretada por BIND como un nombre relativo al origen actual (</w:t>
      </w:r>
      <w:r>
        <w:rPr>
          <w:rFonts w:ascii="Consolas" w:hAnsi="Consolas"/>
          <w:color w:val="102C57"/>
          <w:sz w:val="18"/>
        </w:rPr>
        <w:t>$ORIGIN</w:t>
      </w:r>
      <w:r>
        <w:rPr>
          <w:rFonts w:ascii="Calibri" w:hAnsi="Calibri"/>
          <w:color w:val="1E1E1E"/>
          <w:sz w:val="19"/>
        </w:rPr>
        <w:t xml:space="preserve">). En una zona inversa con </w:t>
      </w:r>
      <w:r>
        <w:rPr>
          <w:rFonts w:ascii="Consolas" w:hAnsi="Consolas"/>
          <w:color w:val="102C57"/>
          <w:sz w:val="18"/>
        </w:rPr>
        <w:t>$ORIGIN 10.10.10.in-addr.arpa.</w:t>
      </w:r>
      <w:r>
        <w:rPr>
          <w:rFonts w:ascii="Calibri" w:hAnsi="Calibri"/>
          <w:color w:val="1E1E1E"/>
          <w:sz w:val="19"/>
        </w:rPr>
        <w:t xml:space="preserve">, omitir el punto en </w:t>
      </w:r>
      <w:r>
        <w:rPr>
          <w:rFonts w:ascii="Consolas" w:hAnsi="Consolas"/>
          <w:color w:val="102C57"/>
          <w:sz w:val="18"/>
        </w:rPr>
        <w:t>mail.horizonte.internal</w:t>
      </w:r>
      <w:r>
        <w:rPr>
          <w:rFonts w:ascii="Calibri" w:hAnsi="Calibri"/>
          <w:color w:val="1E1E1E"/>
          <w:sz w:val="19"/>
        </w:rPr>
        <w:t xml:space="preserve"> causa que BIND lo expanda a </w:t>
      </w:r>
      <w:r>
        <w:rPr>
          <w:rFonts w:ascii="Consolas" w:hAnsi="Consolas"/>
          <w:color w:val="102C57"/>
          <w:sz w:val="18"/>
        </w:rPr>
        <w:t>mail.horizonte.internal.10.10.10.in-addr.arpa.</w:t>
      </w:r>
      <w:r>
        <w:rPr>
          <w:rFonts w:ascii="Calibri" w:hAnsi="Calibri"/>
          <w:color w:val="1E1E1E"/>
          <w:sz w:val="19"/>
        </w:rPr>
        <w:t>, destruyendo la resolución inversa y provocando el rechazo de correos en servidores destinatarios.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Validación del Estudiante: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Se verificó la hipótesis ejecutando </w:t>
      </w:r>
      <w:r>
        <w:rPr>
          <w:rFonts w:ascii="Consolas" w:hAnsi="Consolas"/>
          <w:color w:val="102C57"/>
          <w:sz w:val="18"/>
        </w:rPr>
        <w:t>named-checkzone 10.10.10.in-addr.arpa</w:t>
      </w:r>
      <w:r>
        <w:rPr>
          <w:rFonts w:ascii="Calibri" w:hAnsi="Calibri"/>
          <w:color w:val="1E1E1E"/>
          <w:sz w:val="19"/>
        </w:rPr>
        <w:t xml:space="preserve"> sobre un archivo de prueba deliberadamente erróneo, corroborando el comportamiento exacto.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Sesión 2: Seguridad en Transferencias de Zona: TSIG vs Restricción por IP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Prompt enviado a la 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3C4655"/>
                <w:sz w:val="18"/>
              </w:rPr>
              <w:t>"¿Por qué la directiva `allow-transfer { 10.10.10.3; }` se considera insuficiente en entornos corporativos modernos y cómo la firma de transacción TSIG (RFC 2845) con `hmac-sha256` neutraliza ataques de spoofing y replay?"</w:t>
            </w:r>
          </w:p>
        </w:tc>
      </w:tr>
    </w:tbl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Respuesta y Síntesis de la IA: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La IA detalló que los paquetes UDP y TCP pueden ser falsificados en capa de red mediante suplantación de cabeceras IP (</w:t>
      </w:r>
      <w:r>
        <w:rPr>
          <w:rFonts w:ascii="Calibri" w:hAnsi="Calibri"/>
          <w:i/>
          <w:color w:val="1E1E1E"/>
          <w:sz w:val="19"/>
        </w:rPr>
        <w:t>IP spoofing</w:t>
      </w:r>
      <w:r>
        <w:rPr>
          <w:rFonts w:ascii="Calibri" w:hAnsi="Calibri"/>
          <w:color w:val="1E1E1E"/>
          <w:sz w:val="19"/>
        </w:rPr>
        <w:t>). TSIG agrega un registro de recurso especial de pseudo-cabecera al final del mensaje que contiene un hash HMAC calculado con la clave simétrica y una marca de tiempo (</w:t>
      </w:r>
      <w:r>
        <w:rPr>
          <w:rFonts w:ascii="Calibri" w:hAnsi="Calibri"/>
          <w:i/>
          <w:color w:val="1E1E1E"/>
          <w:sz w:val="19"/>
        </w:rPr>
        <w:t>timestamp</w:t>
      </w:r>
      <w:r>
        <w:rPr>
          <w:rFonts w:ascii="Calibri" w:hAnsi="Calibri"/>
          <w:color w:val="1E1E1E"/>
          <w:sz w:val="19"/>
        </w:rPr>
        <w:t>). Si un atacante intenta inyectar o reproducir un paquete previo, el hash no coincide o el tiempo de tolerancia (300s) expira, rechazando la transferencia.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Validación del Estudiante: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Se ejecutó </w:t>
      </w:r>
      <w:r>
        <w:rPr>
          <w:rFonts w:ascii="Consolas" w:hAnsi="Consolas"/>
          <w:color w:val="102C57"/>
          <w:sz w:val="18"/>
        </w:rPr>
        <w:t>dig @10.10.10.2 horizonte.internal AXFR</w:t>
      </w:r>
      <w:r>
        <w:rPr>
          <w:rFonts w:ascii="Calibri" w:hAnsi="Calibri"/>
          <w:color w:val="1E1E1E"/>
          <w:sz w:val="19"/>
        </w:rPr>
        <w:t xml:space="preserve"> sin clave, confirmando el rechazo inmediato </w:t>
      </w:r>
      <w:r>
        <w:rPr>
          <w:rFonts w:ascii="Consolas" w:hAnsi="Consolas"/>
          <w:color w:val="102C57"/>
          <w:sz w:val="18"/>
        </w:rPr>
        <w:t>; Transfer failed.</w:t>
      </w:r>
      <w:r>
        <w:rPr>
          <w:rFonts w:ascii="Calibri" w:hAnsi="Calibri"/>
          <w:color w:val="1E1E1E"/>
          <w:sz w:val="19"/>
        </w:rPr>
        <w:t xml:space="preserve">, y luego con </w:t>
      </w:r>
      <w:r>
        <w:rPr>
          <w:rFonts w:ascii="Consolas" w:hAnsi="Consolas"/>
          <w:color w:val="102C57"/>
          <w:sz w:val="18"/>
        </w:rPr>
        <w:t>-k transferencia.key</w:t>
      </w:r>
      <w:r>
        <w:rPr>
          <w:rFonts w:ascii="Calibri" w:hAnsi="Calibri"/>
          <w:color w:val="1E1E1E"/>
          <w:sz w:val="19"/>
        </w:rPr>
        <w:t>, logrando la transferencia autorizada de 17 registros.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Sesión 3: Desarrollo del Script de Auditoría Automatizada Propio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Prompt enviado a la 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3C4655"/>
                <w:sz w:val="18"/>
              </w:rPr>
              <w:t>"Ayúdame a estructurar un script de Bash para auditar de forma autónoma una red con BIND9 primario y secundario, que verifique código de salida, banderas de autoridad (aa), consistencia de seriales y rechazo de recursión, con colores ANSI y resumen de pruebas."</w:t>
            </w:r>
          </w:p>
        </w:tc>
      </w:tr>
    </w:tbl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Respuesta y Síntesis de la IA: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Se propuso una arquitectura modular en tres fases con una función auxiliar </w:t>
      </w:r>
      <w:r>
        <w:rPr>
          <w:rFonts w:ascii="Consolas" w:hAnsi="Consolas"/>
          <w:color w:val="102C57"/>
          <w:sz w:val="18"/>
        </w:rPr>
        <w:t>probar()</w:t>
      </w:r>
      <w:r>
        <w:rPr>
          <w:rFonts w:ascii="Calibri" w:hAnsi="Calibri"/>
          <w:color w:val="1E1E1E"/>
          <w:sz w:val="19"/>
        </w:rPr>
        <w:t xml:space="preserve">, captura de seriales mediante </w:t>
      </w:r>
      <w:r>
        <w:rPr>
          <w:rFonts w:ascii="Consolas" w:hAnsi="Consolas"/>
          <w:color w:val="102C57"/>
          <w:sz w:val="18"/>
        </w:rPr>
        <w:t>awk</w:t>
      </w:r>
      <w:r>
        <w:rPr>
          <w:rFonts w:ascii="Calibri" w:hAnsi="Calibri"/>
          <w:color w:val="1E1E1E"/>
          <w:sz w:val="19"/>
        </w:rPr>
        <w:t xml:space="preserve"> y evaluación booleana estricta </w:t>
      </w:r>
      <w:r>
        <w:rPr>
          <w:rFonts w:ascii="Consolas" w:hAnsi="Consolas"/>
          <w:color w:val="102C57"/>
          <w:sz w:val="18"/>
        </w:rPr>
        <w:t>set -u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Validación del Estudiante: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El equipo adaptó el script, integró las rutas reales de los contenedores Docker en </w:t>
      </w:r>
      <w:r>
        <w:rPr>
          <w:rFonts w:ascii="Consolas" w:hAnsi="Consolas"/>
          <w:color w:val="102C57"/>
          <w:sz w:val="18"/>
        </w:rPr>
        <w:t>/lab/actividad02/scripts/verificar_autonomia_dns.sh</w:t>
      </w:r>
      <w:r>
        <w:rPr>
          <w:rFonts w:ascii="Calibri" w:hAnsi="Calibri"/>
          <w:color w:val="1E1E1E"/>
          <w:sz w:val="19"/>
        </w:rPr>
        <w:t xml:space="preserve"> y comprobó que supere las 18 pruebas con código de retorno </w:t>
      </w:r>
      <w:r>
        <w:rPr>
          <w:rFonts w:ascii="Consolas" w:hAnsi="Consolas"/>
          <w:color w:val="102C57"/>
          <w:sz w:val="18"/>
        </w:rPr>
        <w:t>0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Sesión 4: Análisis Comparativo BIND9 vs Windows Server DNS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Prompt enviado a la 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3C4655"/>
                <w:sz w:val="18"/>
              </w:rPr>
              <w:t>"Elabora una tabla comparativa exhaustiva entre BIND9 en Linux y el DNS de Windows Server integrado en Active Directory, abarcando modelo de almacenamiento, replicación, filtrado de seguridad, licenciamiento y administración."</w:t>
            </w:r>
          </w:p>
        </w:tc>
      </w:tr>
    </w:tbl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Respuesta y Síntesis de la IA: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Se contrastaron las zonas en archivos planos y replicación NOTIFY/AXFR/TSIG de Linux frente a las particiones de aplicación NTDS.DIT y replicación RPC multimaster de Active Directory, junto con las diferencias entre políticas RPZ y directivas de resolución de consultas (</w:t>
      </w:r>
      <w:r>
        <w:rPr>
          <w:rFonts w:ascii="Calibri" w:hAnsi="Calibri"/>
          <w:i/>
          <w:color w:val="1E1E1E"/>
          <w:sz w:val="19"/>
        </w:rPr>
        <w:t>DNS Policies</w:t>
      </w:r>
      <w:r>
        <w:rPr>
          <w:rFonts w:ascii="Calibri" w:hAnsi="Calibri"/>
          <w:color w:val="1E1E1E"/>
          <w:sz w:val="19"/>
        </w:rPr>
        <w:t>).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20" w:after="60"/>
      </w:pPr>
      <w:r>
        <w:rPr>
          <w:rFonts w:ascii="Calibri" w:hAnsi="Calibri"/>
          <w:b/>
          <w:color w:val="102C57"/>
          <w:sz w:val="25"/>
        </w:rPr>
        <w:t>3. Comprobación Oficial Automatizada del Entorno (18 de 18 Pruebas)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3C4655"/>
                <w:sz w:val="18"/>
              </w:rPr>
              <w:t xml:space="preserve">📌 </w:t>
            </w:r>
            <w:r>
              <w:rPr>
                <w:rFonts w:ascii="Calibri" w:hAnsi="Calibri"/>
                <w:b/>
                <w:i/>
                <w:color w:val="3C4655"/>
                <w:sz w:val="18"/>
              </w:rPr>
              <w:t>Cumplimiento de la Directriz Docente: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3C4655"/>
                <w:sz w:val="18"/>
              </w:rPr>
              <w:t>La salida completa de la verificación final se documenta aquí en la Bitácora de IA para certificar el funcionamiento de todo el laboratorio y la actividad.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1E1E"/>
                <w:sz w:val="16"/>
              </w:rPr>
              <w:t>==================================================================</w:t>
              <w:br/>
              <w:t xml:space="preserve">   AUDITORÍA AUTOMATIZADA DE INFRAESTRUCTURA DNS - ACTIVIDAD 2</w:t>
              <w:br/>
              <w:t xml:space="preserve">   Organización: U.E. Horizonte | Dominio: horizonte.internal</w:t>
              <w:br/>
              <w:t xml:space="preserve">   Estudiante: Charles Yourdan Conde Ugarteche &amp; Grupo</w:t>
              <w:br/>
              <w:t xml:space="preserve">   Fecha de Ejecución: 18/10/2026</w:t>
              <w:br/>
              <w:t>==================================================================</w:t>
              <w:br/>
              <w:br/>
              <w:t>--- FASE 1: Comprobación de Registros de Zona Directa e Inversa (ns1) ---</w:t>
              <w:br/>
              <w:t xml:space="preserve">  [OK] Registro A (raíz): horizonte.internal -&gt; 10.10.10.20</w:t>
              <w:br/>
              <w:t xml:space="preserve">  [OK] Registro A (web): www.horizonte.internal -&gt; 10.10.10.20</w:t>
              <w:br/>
              <w:t xml:space="preserve">  [OK] Registro CNAME (alias): portal.horizonte.internal -&gt; www.horizonte.internal.</w:t>
              <w:br/>
              <w:t xml:space="preserve">  [OK] Registro MX (correo): horizonte.internal -&gt; 10 mail.horizonte.internal.</w:t>
              <w:br/>
              <w:t xml:space="preserve">  [OK] Registro A (servidor de correo): mail.horizonte.internal -&gt; 10.10.10.25</w:t>
              <w:br/>
              <w:t xml:space="preserve">  [OK] Registro TXT (política SPF estricta): v=spf1 mx -all</w:t>
              <w:br/>
              <w:t xml:space="preserve">  [OK] Registro CAA (autoridad certificadora): issue "horizonte.internal"</w:t>
              <w:br/>
              <w:t xml:space="preserve">  [OK] Registro Inverso PTR: 10.10.10.20 -&gt; www.horizonte.internal.</w:t>
              <w:br/>
              <w:t xml:space="preserve">  [OK] Registro Inverso PTR: 10.10.10.25 -&gt; mail.horizonte.internal.</w:t>
              <w:br/>
              <w:t xml:space="preserve">  [OK] Bandera de Autoridad (aa flag) activa en ns1</w:t>
              <w:br/>
              <w:br/>
              <w:t>--- FASE 2: Sincronización y Servidor Secundario (ns2) ---</w:t>
              <w:br/>
              <w:t xml:space="preserve">  [OK] Respuesta autoritativa desde el Secundario (ns2 aa flag)</w:t>
              <w:br/>
              <w:t xml:space="preserve">  [OK] Resolución en ns2 de CNAME encadenado hasta IP (portal -&gt; 10.10.10.20)</w:t>
              <w:br/>
              <w:t xml:space="preserve">  [OK] Resolución de Inversa PTR en el Secundario (ns2: 10.10.10.25)</w:t>
              <w:br/>
              <w:t xml:space="preserve">  [OK] Consistencia de Número de Serie SOA (ns1=2026100701 vs ns2=2026100701)</w:t>
              <w:br/>
              <w:br/>
              <w:t>--- FASE 3: Seguridad Perimetral, TSIG y Recursión ---</w:t>
              <w:br/>
              <w:t xml:space="preserve">  [OK] Transferencia de Zona (AXFR) SIN clave TSIG -&gt; Rechazada (Transfer failed)</w:t>
              <w:br/>
              <w:t xml:space="preserve">  [OK] Transferencia de Zona (AXFR) CON clave TSIG -&gt; Exitosa y Autenticada</w:t>
              <w:br/>
              <w:t xml:space="preserve">  [OK] Rechazo de Recursión externa (ns1 responde REFUSED a dominios ajenos)</w:t>
              <w:br/>
              <w:t xml:space="preserve">  [OK] Ofuscación de Versión de BIND (CH TXT version.bind -&gt; 'no disponible')</w:t>
              <w:br/>
              <w:br/>
              <w:t>==================================================================</w:t>
              <w:br/>
              <w:t xml:space="preserve">   RESULTADO FINAL: 18 de 18 PRUEBAS SUPERADAS CON ÉXITO (100%)</w:t>
              <w:br/>
              <w:t xml:space="preserve">   Estado: Infraestructura DNS lista para Defensa y Evaluación.</w:t>
              <w:br/>
              <w:t>==================================================================</w:t>
            </w:r>
          </w:p>
        </w:tc>
      </w:tr>
    </w:tbl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20" w:after="60"/>
      </w:pPr>
      <w:r>
        <w:rPr>
          <w:rFonts w:ascii="Calibri" w:hAnsi="Calibri"/>
          <w:b/>
          <w:color w:val="102C57"/>
          <w:sz w:val="25"/>
        </w:rPr>
        <w:t>4. Referencias (APA v7)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color w:val="1E1E1E"/>
          <w:sz w:val="19"/>
        </w:rPr>
        <w:t xml:space="preserve">Internet Systems Consortium. (2024). </w:t>
      </w:r>
      <w:r>
        <w:rPr>
          <w:rFonts w:ascii="Calibri" w:hAnsi="Calibri"/>
          <w:i/>
          <w:color w:val="1E1E1E"/>
          <w:sz w:val="19"/>
        </w:rPr>
        <w:t>BIND 9 Administrator Reference Manual (ARM)</w:t>
      </w:r>
      <w:r>
        <w:rPr>
          <w:rFonts w:ascii="Calibri" w:hAnsi="Calibri"/>
          <w:color w:val="1E1E1E"/>
          <w:sz w:val="19"/>
        </w:rPr>
        <w:t>. ISC. https://bind9.readthedocs.io/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color w:val="1E1E1E"/>
          <w:sz w:val="19"/>
        </w:rPr>
        <w:t xml:space="preserve">Microsoft Corporation. (2023). </w:t>
      </w:r>
      <w:r>
        <w:rPr>
          <w:rFonts w:ascii="Calibri" w:hAnsi="Calibri"/>
          <w:i/>
          <w:color w:val="1E1E1E"/>
          <w:sz w:val="19"/>
        </w:rPr>
        <w:t>DNS policies overview in Windows Server</w:t>
      </w:r>
      <w:r>
        <w:rPr>
          <w:rFonts w:ascii="Calibri" w:hAnsi="Calibri"/>
          <w:color w:val="1E1E1E"/>
          <w:sz w:val="19"/>
        </w:rPr>
        <w:t>. Microsoft Learn. https://learn.microsoft.com/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color w:val="1E1E1E"/>
          <w:sz w:val="19"/>
        </w:rPr>
        <w:t xml:space="preserve">Vixie, P., Gudmundsson, O., Eastlake, D., &amp; Wellington, B. (2000). </w:t>
      </w:r>
      <w:r>
        <w:rPr>
          <w:rFonts w:ascii="Calibri" w:hAnsi="Calibri"/>
          <w:i/>
          <w:color w:val="1E1E1E"/>
          <w:sz w:val="19"/>
        </w:rPr>
        <w:t>Secret key transaction authentication for DNS (TSIG)</w:t>
      </w:r>
      <w:r>
        <w:rPr>
          <w:rFonts w:ascii="Calibri" w:hAnsi="Calibri"/>
          <w:color w:val="1E1E1E"/>
          <w:sz w:val="19"/>
        </w:rPr>
        <w:t xml:space="preserve"> (RFC 2845). IETF. https://doi.org/10.17487/RFC2845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