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INFORMES DE MEDICIÓN DE NIVELES DE SERVICIO (ANS)</w:t>
      </w:r>
    </w:p>
    <w:p>
      <w:pPr>
        <w:pStyle w:val="Heading2"/>
      </w:pPr>
      <w:r>
        <w:t>3.1. PENALIDAD DE ANS</w:t>
      </w:r>
    </w:p>
    <w:p>
      <w:pPr>
        <w:spacing w:after="120"/>
        <w:jc w:val="both"/>
      </w:pPr>
      <w:r>
        <w:rPr>
          <w:b w:val="0"/>
        </w:rPr>
        <w:t>El Acuerdo de Nivel de Servicio (ANS) establecido en el contrato SCJ-1809-2024 define que el contratista debe garantizar una disponibilidad mínima del 98.9% del sistema de videovigilancia de Bogotá D.C.</w:t>
        <w:br/>
        <w:br/>
        <w:t>A continuación se presenta el informe de medición del ANS correspondiente al mes de Septiembre de 2025, incluyendo el cálculo de disponibilidad por localidad, el análisis de cumplimiento y, de ser aplicable, el cálculo de penalidades.</w:t>
      </w:r>
    </w:p>
    <w:p>
      <w:pPr>
        <w:spacing w:after="120"/>
        <w:jc w:val="both"/>
      </w:pPr>
      <w:r>
        <w:rPr>
          <w:b/>
        </w:rPr>
        <w:t>FÓRMULA DE CÁLCULO DE DISPONIBILIDAD:</w:t>
      </w:r>
    </w:p>
    <w:p>
      <w:pPr>
        <w:jc w:val="center"/>
      </w:pPr>
      <w:r>
        <w:rPr>
          <w:i/>
          <w:sz w:val="22"/>
        </w:rPr>
        <w:t>Disponibilidad (%) = (Horas Operativas / Horas Totales del Mes) × 100</w:t>
      </w:r>
    </w:p>
    <w:p/>
    <w:p>
      <w:pPr>
        <w:spacing w:after="120"/>
        <w:jc w:val="both"/>
      </w:pPr>
      <w:r>
        <w:rPr>
          <w:b/>
        </w:rPr>
        <w:t>DATOS DEL PERIODO:</w:t>
      </w:r>
    </w:p>
    <w:tbl>
      <w:tblPr>
        <w:tblStyle w:val="TableGrid"/>
        <w:tblW w:type="auto" w:w="0"/>
        <w:jc w:val="center"/>
        <w:tblLook w:firstColumn="1" w:firstRow="1" w:lastColumn="0" w:lastRow="0" w:noHBand="0" w:noVBand="1" w:val="04A0"/>
      </w:tblPr>
      <w:tblGrid>
        <w:gridCol w:w="4320"/>
        <w:gridCol w:w="4320"/>
      </w:tblGrid>
      <w:tr>
        <w:tc>
          <w:tcPr>
            <w:tcW w:type="dxa" w:w="5040"/>
            <w:shd w:fill="1F4E79"/>
          </w:tcPr>
          <w:p>
            <w:pPr>
              <w:jc w:val="center"/>
            </w:pPr>
            <w:r>
              <w:rPr>
                <w:b/>
                <w:color w:val="FFFFFF"/>
                <w:sz w:val="20"/>
              </w:rPr>
              <w:t>CONCEPTO</w:t>
            </w:r>
          </w:p>
        </w:tc>
        <w:tc>
          <w:tcPr>
            <w:tcW w:type="dxa" w:w="3600"/>
            <w:shd w:fill="1F4E79"/>
          </w:tcPr>
          <w:p>
            <w:pPr>
              <w:jc w:val="center"/>
            </w:pPr>
            <w:r>
              <w:rPr>
                <w:b/>
                <w:color w:val="FFFFFF"/>
                <w:sz w:val="20"/>
              </w:rPr>
              <w:t>VALOR</w:t>
            </w:r>
          </w:p>
        </w:tc>
      </w:tr>
      <w:tr>
        <w:tc>
          <w:tcPr>
            <w:tcW w:type="dxa" w:w="5040"/>
          </w:tcPr>
          <w:p>
            <w:pPr>
              <w:jc w:val="center"/>
            </w:pPr>
            <w:r>
              <w:rPr>
                <w:sz w:val="20"/>
              </w:rPr>
              <w:t>Horas totales del mes</w:t>
            </w:r>
          </w:p>
        </w:tc>
        <w:tc>
          <w:tcPr>
            <w:tcW w:type="dxa" w:w="3600"/>
          </w:tcPr>
          <w:p>
            <w:pPr>
              <w:jc w:val="center"/>
            </w:pPr>
            <w:r>
              <w:rPr>
                <w:sz w:val="20"/>
              </w:rPr>
              <w:t>720 horas</w:t>
            </w:r>
          </w:p>
        </w:tc>
      </w:tr>
      <w:tr>
        <w:tc>
          <w:tcPr>
            <w:tcW w:type="dxa" w:w="5040"/>
          </w:tcPr>
          <w:p>
            <w:pPr>
              <w:jc w:val="center"/>
            </w:pPr>
            <w:r>
              <w:rPr>
                <w:sz w:val="20"/>
              </w:rPr>
              <w:t>Horas operativas</w:t>
            </w:r>
          </w:p>
        </w:tc>
        <w:tc>
          <w:tcPr>
            <w:tcW w:type="dxa" w:w="3600"/>
          </w:tcPr>
          <w:p>
            <w:pPr>
              <w:jc w:val="center"/>
            </w:pPr>
            <w:r>
              <w:rPr>
                <w:sz w:val="20"/>
              </w:rPr>
              <w:t>713 horas</w:t>
            </w:r>
          </w:p>
        </w:tc>
      </w:tr>
      <w:tr>
        <w:tc>
          <w:tcPr>
            <w:tcW w:type="dxa" w:w="5040"/>
          </w:tcPr>
          <w:p>
            <w:pPr>
              <w:jc w:val="center"/>
            </w:pPr>
            <w:r>
              <w:rPr>
                <w:sz w:val="20"/>
              </w:rPr>
              <w:t>Horas no operativas</w:t>
            </w:r>
          </w:p>
        </w:tc>
        <w:tc>
          <w:tcPr>
            <w:tcW w:type="dxa" w:w="3600"/>
          </w:tcPr>
          <w:p>
            <w:pPr>
              <w:jc w:val="center"/>
            </w:pPr>
            <w:r>
              <w:rPr>
                <w:sz w:val="20"/>
              </w:rPr>
              <w:t>7 horas</w:t>
            </w:r>
          </w:p>
        </w:tc>
      </w:tr>
      <w:tr>
        <w:tc>
          <w:tcPr>
            <w:tcW w:type="dxa" w:w="5040"/>
            <w:shd w:fill="C6EFCE"/>
          </w:tcPr>
          <w:p>
            <w:pPr>
              <w:jc w:val="center"/>
            </w:pPr>
            <w:r>
              <w:rPr>
                <w:sz w:val="20"/>
              </w:rPr>
              <w:t>Disponibilidad calculada</w:t>
            </w:r>
          </w:p>
        </w:tc>
        <w:tc>
          <w:tcPr>
            <w:tcW w:type="dxa" w:w="3600"/>
            <w:shd w:fill="C6EFCE"/>
          </w:tcPr>
          <w:p>
            <w:pPr>
              <w:jc w:val="center"/>
            </w:pPr>
            <w:r>
              <w:rPr>
                <w:sz w:val="20"/>
              </w:rPr>
              <w:t>99.12%</w:t>
            </w:r>
          </w:p>
        </w:tc>
      </w:tr>
      <w:tr>
        <w:tc>
          <w:tcPr>
            <w:tcW w:type="dxa" w:w="5040"/>
            <w:shd w:fill="D9E1F2"/>
          </w:tcPr>
          <w:p>
            <w:pPr>
              <w:jc w:val="center"/>
            </w:pPr>
            <w:r>
              <w:rPr>
                <w:sz w:val="20"/>
              </w:rPr>
              <w:t>Umbral contractual (ANS)</w:t>
            </w:r>
          </w:p>
        </w:tc>
        <w:tc>
          <w:tcPr>
            <w:tcW w:type="dxa" w:w="3600"/>
            <w:shd w:fill="D9E1F2"/>
          </w:tcPr>
          <w:p>
            <w:pPr>
              <w:jc w:val="center"/>
            </w:pPr>
            <w:r>
              <w:rPr>
                <w:sz w:val="20"/>
              </w:rPr>
              <w:t>98.9%</w:t>
            </w:r>
          </w:p>
        </w:tc>
      </w:tr>
    </w:tbl>
    <w:p/>
    <w:p>
      <w:pPr>
        <w:spacing w:after="120"/>
        <w:jc w:val="both"/>
      </w:pPr>
      <w:r>
        <w:rPr>
          <w:b/>
        </w:rPr>
        <w:t>RESULTADO DEL ANS:</w:t>
      </w:r>
    </w:p>
    <w:p>
      <w:pPr>
        <w:spacing w:after="120"/>
        <w:jc w:val="both"/>
      </w:pPr>
      <w:r>
        <w:rPr>
          <w:b/>
          <w:color w:val="008000"/>
        </w:rPr>
        <w:t>✓ ANS CUMPLIDO - Disponibilidad: 99.12% (Umbral: 98.9%)</w:t>
      </w:r>
    </w:p>
    <w:p>
      <w:pPr>
        <w:spacing w:after="120"/>
        <w:jc w:val="both"/>
      </w:pPr>
      <w:r>
        <w:rPr>
          <w:b/>
        </w:rPr>
        <w:t>ANÁLISIS DE CUMPLIMIENTO:</w:t>
      </w:r>
    </w:p>
    <w:p>
      <w:pPr>
        <w:spacing w:after="120"/>
        <w:jc w:val="both"/>
      </w:pPr>
      <w:r>
        <w:rPr>
          <w:b w:val="0"/>
        </w:rPr>
        <w:t>Durante el mes de Septiembre de 2025 se obtuvo un indicador de disponibilidad del 99.12%, CUMPLIENDO satisfactoriamente con el mínimo del 98.9% establecido en el contrato SCJ-1809-2024.</w:t>
        <w:br/>
        <w:br/>
        <w:t>El cumplimiento del ANS se logró gracias a:</w:t>
        <w:br/>
        <w:t>• Atención oportuna de los mantenimientos correctivos</w:t>
        <w:br/>
        <w:t>• Ejecución del plan de mantenimiento preventivo según cronograma</w:t>
        <w:br/>
        <w:t>• Gestión eficiente de los escalamientos a proveedores (ENEL, ETB)</w:t>
        <w:br/>
        <w:t>• Monitoreo continuo del sistema de videovigilancia</w:t>
        <w:br/>
        <w:t>• Disponibilidad de repuestos en la bolsa del contrato</w:t>
        <w:br/>
        <w:br/>
        <w:t>Se destaca que la disponibilidad obtenida supera el umbral contractual en 0.22 puntos porcentuales.</w:t>
      </w:r>
    </w:p>
    <w:p>
      <w:pPr>
        <w:spacing w:after="120"/>
        <w:jc w:val="both"/>
      </w:pPr>
      <w:r>
        <w:rPr>
          <w:b/>
        </w:rPr>
        <w:t>DISPONIBILIDAD POR LOCALIDAD: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fill="1F4E79"/>
          </w:tcPr>
          <w:p>
            <w:pPr>
              <w:jc w:val="center"/>
            </w:pPr>
            <w:r>
              <w:rPr>
                <w:b/>
                <w:color w:val="FFFFFF"/>
                <w:sz w:val="20"/>
              </w:rPr>
              <w:t>LOCALIDAD</w:t>
            </w:r>
          </w:p>
        </w:tc>
        <w:tc>
          <w:tcPr>
            <w:tcW w:type="dxa" w:w="1296"/>
            <w:shd w:fill="1F4E79"/>
          </w:tcPr>
          <w:p>
            <w:pPr>
              <w:jc w:val="center"/>
            </w:pPr>
            <w:r>
              <w:rPr>
                <w:b/>
                <w:color w:val="FFFFFF"/>
                <w:sz w:val="20"/>
              </w:rPr>
              <w:t>CÁMARAS</w:t>
            </w:r>
          </w:p>
        </w:tc>
        <w:tc>
          <w:tcPr>
            <w:tcW w:type="dxa" w:w="1728"/>
            <w:shd w:fill="1F4E79"/>
          </w:tcPr>
          <w:p>
            <w:pPr>
              <w:jc w:val="center"/>
            </w:pPr>
            <w:r>
              <w:rPr>
                <w:b/>
                <w:color w:val="FFFFFF"/>
                <w:sz w:val="20"/>
              </w:rPr>
              <w:t>HRS OPERATIVAS</w:t>
            </w:r>
          </w:p>
        </w:tc>
        <w:tc>
          <w:tcPr>
            <w:tcW w:type="dxa" w:w="1728"/>
            <w:shd w:fill="1F4E79"/>
          </w:tcPr>
          <w:p>
            <w:pPr>
              <w:jc w:val="center"/>
            </w:pPr>
            <w:r>
              <w:rPr>
                <w:b/>
                <w:color w:val="FFFFFF"/>
                <w:sz w:val="20"/>
              </w:rPr>
              <w:t>HRS NO OPER.</w:t>
            </w:r>
          </w:p>
        </w:tc>
        <w:tc>
          <w:tcPr>
            <w:tcW w:type="dxa" w:w="1728"/>
            <w:shd w:fill="1F4E79"/>
          </w:tcPr>
          <w:p>
            <w:pPr>
              <w:jc w:val="center"/>
            </w:pPr>
            <w:r>
              <w:rPr>
                <w:b/>
                <w:color w:val="FFFFFF"/>
                <w:sz w:val="20"/>
              </w:rPr>
              <w:t>DISPONIBILIDAD</w:t>
            </w:r>
          </w:p>
        </w:tc>
      </w:tr>
      <w:tr>
        <w:tc>
          <w:tcPr>
            <w:tcW w:type="dxa" w:w="2592"/>
            <w:shd w:fill="C6EFCE"/>
          </w:tcPr>
          <w:p>
            <w:pPr>
              <w:jc w:val="center"/>
            </w:pPr>
            <w:r>
              <w:rPr>
                <w:sz w:val="20"/>
              </w:rPr>
              <w:t>Kennedy</w:t>
            </w:r>
          </w:p>
        </w:tc>
        <w:tc>
          <w:tcPr>
            <w:tcW w:type="dxa" w:w="1296"/>
            <w:shd w:fill="C6EFCE"/>
          </w:tcPr>
          <w:p>
            <w:pPr>
              <w:jc w:val="center"/>
            </w:pPr>
            <w:r>
              <w:rPr>
                <w:sz w:val="20"/>
              </w:rPr>
              <w:t>192</w:t>
            </w:r>
          </w:p>
        </w:tc>
        <w:tc>
          <w:tcPr>
            <w:tcW w:type="dxa" w:w="1728"/>
            <w:shd w:fill="C6EFCE"/>
          </w:tcPr>
          <w:p>
            <w:pPr>
              <w:jc w:val="center"/>
            </w:pPr>
            <w:r>
              <w:rPr>
                <w:sz w:val="20"/>
              </w:rPr>
              <w:t>137,980</w:t>
            </w:r>
          </w:p>
        </w:tc>
        <w:tc>
          <w:tcPr>
            <w:tcW w:type="dxa" w:w="1728"/>
            <w:shd w:fill="C6EFCE"/>
          </w:tcPr>
          <w:p>
            <w:pPr>
              <w:jc w:val="center"/>
            </w:pPr>
            <w:r>
              <w:rPr>
                <w:sz w:val="20"/>
              </w:rPr>
              <w:t>580</w:t>
            </w:r>
          </w:p>
        </w:tc>
        <w:tc>
          <w:tcPr>
            <w:tcW w:type="dxa" w:w="1728"/>
            <w:shd w:fill="C6EFCE"/>
          </w:tcPr>
          <w:p>
            <w:pPr>
              <w:jc w:val="center"/>
            </w:pPr>
            <w:r>
              <w:rPr>
                <w:sz w:val="20"/>
              </w:rPr>
              <w:t>99.58%</w:t>
            </w:r>
          </w:p>
        </w:tc>
      </w:tr>
      <w:tr>
        <w:tc>
          <w:tcPr>
            <w:tcW w:type="dxa" w:w="2592"/>
            <w:shd w:fill="C6EFCE"/>
          </w:tcPr>
          <w:p>
            <w:pPr>
              <w:jc w:val="center"/>
            </w:pPr>
            <w:r>
              <w:rPr>
                <w:sz w:val="20"/>
              </w:rPr>
              <w:t>Suba</w:t>
            </w:r>
          </w:p>
        </w:tc>
        <w:tc>
          <w:tcPr>
            <w:tcW w:type="dxa" w:w="1296"/>
            <w:shd w:fill="C6EFCE"/>
          </w:tcPr>
          <w:p>
            <w:pPr>
              <w:jc w:val="center"/>
            </w:pPr>
            <w:r>
              <w:rPr>
                <w:sz w:val="20"/>
              </w:rPr>
              <w:t>176</w:t>
            </w:r>
          </w:p>
        </w:tc>
        <w:tc>
          <w:tcPr>
            <w:tcW w:type="dxa" w:w="1728"/>
            <w:shd w:fill="C6EFCE"/>
          </w:tcPr>
          <w:p>
            <w:pPr>
              <w:jc w:val="center"/>
            </w:pPr>
            <w:r>
              <w:rPr>
                <w:sz w:val="20"/>
              </w:rPr>
              <w:t>126,432</w:t>
            </w:r>
          </w:p>
        </w:tc>
        <w:tc>
          <w:tcPr>
            <w:tcW w:type="dxa" w:w="1728"/>
            <w:shd w:fill="C6EFCE"/>
          </w:tcPr>
          <w:p>
            <w:pPr>
              <w:jc w:val="center"/>
            </w:pPr>
            <w:r>
              <w:rPr>
                <w:sz w:val="20"/>
              </w:rPr>
              <w:t>288</w:t>
            </w:r>
          </w:p>
        </w:tc>
        <w:tc>
          <w:tcPr>
            <w:tcW w:type="dxa" w:w="1728"/>
            <w:shd w:fill="C6EFCE"/>
          </w:tcPr>
          <w:p>
            <w:pPr>
              <w:jc w:val="center"/>
            </w:pPr>
            <w:r>
              <w:rPr>
                <w:sz w:val="20"/>
              </w:rPr>
              <w:t>99.77%</w:t>
            </w:r>
          </w:p>
        </w:tc>
      </w:tr>
      <w:tr>
        <w:tc>
          <w:tcPr>
            <w:tcW w:type="dxa" w:w="2592"/>
            <w:shd w:fill="C6EFCE"/>
          </w:tcPr>
          <w:p>
            <w:pPr>
              <w:jc w:val="center"/>
            </w:pPr>
            <w:r>
              <w:rPr>
                <w:sz w:val="20"/>
              </w:rPr>
              <w:t>Engativá</w:t>
            </w:r>
          </w:p>
        </w:tc>
        <w:tc>
          <w:tcPr>
            <w:tcW w:type="dxa" w:w="1296"/>
            <w:shd w:fill="C6EFCE"/>
          </w:tcPr>
          <w:p>
            <w:pPr>
              <w:jc w:val="center"/>
            </w:pPr>
            <w:r>
              <w:rPr>
                <w:sz w:val="20"/>
              </w:rPr>
              <w:t>159</w:t>
            </w:r>
          </w:p>
        </w:tc>
        <w:tc>
          <w:tcPr>
            <w:tcW w:type="dxa" w:w="1728"/>
            <w:shd w:fill="C6EFCE"/>
          </w:tcPr>
          <w:p>
            <w:pPr>
              <w:jc w:val="center"/>
            </w:pPr>
            <w:r>
              <w:rPr>
                <w:sz w:val="20"/>
              </w:rPr>
              <w:t>114,120</w:t>
            </w:r>
          </w:p>
        </w:tc>
        <w:tc>
          <w:tcPr>
            <w:tcW w:type="dxa" w:w="1728"/>
            <w:shd w:fill="C6EFCE"/>
          </w:tcPr>
          <w:p>
            <w:pPr>
              <w:jc w:val="center"/>
            </w:pPr>
            <w:r>
              <w:rPr>
                <w:sz w:val="20"/>
              </w:rPr>
              <w:t>360</w:t>
            </w:r>
          </w:p>
        </w:tc>
        <w:tc>
          <w:tcPr>
            <w:tcW w:type="dxa" w:w="1728"/>
            <w:shd w:fill="C6EFCE"/>
          </w:tcPr>
          <w:p>
            <w:pPr>
              <w:jc w:val="center"/>
            </w:pPr>
            <w:r>
              <w:rPr>
                <w:sz w:val="20"/>
              </w:rPr>
              <w:t>99.69%</w:t>
            </w:r>
          </w:p>
        </w:tc>
      </w:tr>
      <w:tr>
        <w:tc>
          <w:tcPr>
            <w:tcW w:type="dxa" w:w="2592"/>
            <w:shd w:fill="C6EFCE"/>
          </w:tcPr>
          <w:p>
            <w:pPr>
              <w:jc w:val="center"/>
            </w:pPr>
            <w:r>
              <w:rPr>
                <w:sz w:val="20"/>
              </w:rPr>
              <w:t>Ciudad Bolívar</w:t>
            </w:r>
          </w:p>
        </w:tc>
        <w:tc>
          <w:tcPr>
            <w:tcW w:type="dxa" w:w="1296"/>
            <w:shd w:fill="C6EFCE"/>
          </w:tcPr>
          <w:p>
            <w:pPr>
              <w:jc w:val="center"/>
            </w:pPr>
            <w:r>
              <w:rPr>
                <w:sz w:val="20"/>
              </w:rPr>
              <w:t>154</w:t>
            </w:r>
          </w:p>
        </w:tc>
        <w:tc>
          <w:tcPr>
            <w:tcW w:type="dxa" w:w="1728"/>
            <w:shd w:fill="C6EFCE"/>
          </w:tcPr>
          <w:p>
            <w:pPr>
              <w:jc w:val="center"/>
            </w:pPr>
            <w:r>
              <w:rPr>
                <w:sz w:val="20"/>
              </w:rPr>
              <w:t>110,376</w:t>
            </w:r>
          </w:p>
        </w:tc>
        <w:tc>
          <w:tcPr>
            <w:tcW w:type="dxa" w:w="1728"/>
            <w:shd w:fill="C6EFCE"/>
          </w:tcPr>
          <w:p>
            <w:pPr>
              <w:jc w:val="center"/>
            </w:pPr>
            <w:r>
              <w:rPr>
                <w:sz w:val="20"/>
              </w:rPr>
              <w:t>504</w:t>
            </w:r>
          </w:p>
        </w:tc>
        <w:tc>
          <w:tcPr>
            <w:tcW w:type="dxa" w:w="1728"/>
            <w:shd w:fill="C6EFCE"/>
          </w:tcPr>
          <w:p>
            <w:pPr>
              <w:jc w:val="center"/>
            </w:pPr>
            <w:r>
              <w:rPr>
                <w:sz w:val="20"/>
              </w:rPr>
              <w:t>99.55%</w:t>
            </w:r>
          </w:p>
        </w:tc>
      </w:tr>
      <w:tr>
        <w:tc>
          <w:tcPr>
            <w:tcW w:type="dxa" w:w="2592"/>
            <w:shd w:fill="C6EFCE"/>
          </w:tcPr>
          <w:p>
            <w:pPr>
              <w:jc w:val="center"/>
            </w:pPr>
            <w:r>
              <w:rPr>
                <w:sz w:val="20"/>
              </w:rPr>
              <w:t>Bosa</w:t>
            </w:r>
          </w:p>
        </w:tc>
        <w:tc>
          <w:tcPr>
            <w:tcW w:type="dxa" w:w="1296"/>
            <w:shd w:fill="C6EFCE"/>
          </w:tcPr>
          <w:p>
            <w:pPr>
              <w:jc w:val="center"/>
            </w:pPr>
            <w:r>
              <w:rPr>
                <w:sz w:val="20"/>
              </w:rPr>
              <w:t>146</w:t>
            </w:r>
          </w:p>
        </w:tc>
        <w:tc>
          <w:tcPr>
            <w:tcW w:type="dxa" w:w="1728"/>
            <w:shd w:fill="C6EFCE"/>
          </w:tcPr>
          <w:p>
            <w:pPr>
              <w:jc w:val="center"/>
            </w:pPr>
            <w:r>
              <w:rPr>
                <w:sz w:val="20"/>
              </w:rPr>
              <w:t>104,688</w:t>
            </w:r>
          </w:p>
        </w:tc>
        <w:tc>
          <w:tcPr>
            <w:tcW w:type="dxa" w:w="1728"/>
            <w:shd w:fill="C6EFCE"/>
          </w:tcPr>
          <w:p>
            <w:pPr>
              <w:jc w:val="center"/>
            </w:pPr>
            <w:r>
              <w:rPr>
                <w:sz w:val="20"/>
              </w:rPr>
              <w:t>432</w:t>
            </w:r>
          </w:p>
        </w:tc>
        <w:tc>
          <w:tcPr>
            <w:tcW w:type="dxa" w:w="1728"/>
            <w:shd w:fill="C6EFCE"/>
          </w:tcPr>
          <w:p>
            <w:pPr>
              <w:jc w:val="center"/>
            </w:pPr>
            <w:r>
              <w:rPr>
                <w:sz w:val="20"/>
              </w:rPr>
              <w:t>99.59%</w:t>
            </w:r>
          </w:p>
        </w:tc>
      </w:tr>
      <w:tr>
        <w:tc>
          <w:tcPr>
            <w:tcW w:type="dxa" w:w="2592"/>
            <w:shd w:fill="C6EFCE"/>
          </w:tcPr>
          <w:p>
            <w:pPr>
              <w:jc w:val="center"/>
            </w:pPr>
            <w:r>
              <w:rPr>
                <w:sz w:val="20"/>
              </w:rPr>
              <w:t>Usme</w:t>
            </w:r>
          </w:p>
        </w:tc>
        <w:tc>
          <w:tcPr>
            <w:tcW w:type="dxa" w:w="1296"/>
            <w:shd w:fill="C6EFCE"/>
          </w:tcPr>
          <w:p>
            <w:pPr>
              <w:jc w:val="center"/>
            </w:pPr>
            <w:r>
              <w:rPr>
                <w:sz w:val="20"/>
              </w:rPr>
              <w:t>131</w:t>
            </w:r>
          </w:p>
        </w:tc>
        <w:tc>
          <w:tcPr>
            <w:tcW w:type="dxa" w:w="1728"/>
            <w:shd w:fill="C6EFCE"/>
          </w:tcPr>
          <w:p>
            <w:pPr>
              <w:jc w:val="center"/>
            </w:pPr>
            <w:r>
              <w:rPr>
                <w:sz w:val="20"/>
              </w:rPr>
              <w:t>93,960</w:t>
            </w:r>
          </w:p>
        </w:tc>
        <w:tc>
          <w:tcPr>
            <w:tcW w:type="dxa" w:w="1728"/>
            <w:shd w:fill="C6EFCE"/>
          </w:tcPr>
          <w:p>
            <w:pPr>
              <w:jc w:val="center"/>
            </w:pPr>
            <w:r>
              <w:rPr>
                <w:sz w:val="20"/>
              </w:rPr>
              <w:t>360</w:t>
            </w:r>
          </w:p>
        </w:tc>
        <w:tc>
          <w:tcPr>
            <w:tcW w:type="dxa" w:w="1728"/>
            <w:shd w:fill="C6EFCE"/>
          </w:tcPr>
          <w:p>
            <w:pPr>
              <w:jc w:val="center"/>
            </w:pPr>
            <w:r>
              <w:rPr>
                <w:sz w:val="20"/>
              </w:rPr>
              <w:t>99.62%</w:t>
            </w:r>
          </w:p>
        </w:tc>
      </w:tr>
      <w:tr>
        <w:tc>
          <w:tcPr>
            <w:tcW w:type="dxa" w:w="2592"/>
            <w:shd w:fill="C6EFCE"/>
          </w:tcPr>
          <w:p>
            <w:pPr>
              <w:jc w:val="center"/>
            </w:pPr>
            <w:r>
              <w:rPr>
                <w:sz w:val="20"/>
              </w:rPr>
              <w:t>San Cristóbal</w:t>
            </w:r>
          </w:p>
        </w:tc>
        <w:tc>
          <w:tcPr>
            <w:tcW w:type="dxa" w:w="1296"/>
            <w:shd w:fill="C6EFCE"/>
          </w:tcPr>
          <w:p>
            <w:pPr>
              <w:jc w:val="center"/>
            </w:pPr>
            <w:r>
              <w:rPr>
                <w:sz w:val="20"/>
              </w:rPr>
              <w:t>118</w:t>
            </w:r>
          </w:p>
        </w:tc>
        <w:tc>
          <w:tcPr>
            <w:tcW w:type="dxa" w:w="1728"/>
            <w:shd w:fill="C6EFCE"/>
          </w:tcPr>
          <w:p>
            <w:pPr>
              <w:jc w:val="center"/>
            </w:pPr>
            <w:r>
              <w:rPr>
                <w:sz w:val="20"/>
              </w:rPr>
              <w:t>84,672</w:t>
            </w:r>
          </w:p>
        </w:tc>
        <w:tc>
          <w:tcPr>
            <w:tcW w:type="dxa" w:w="1728"/>
            <w:shd w:fill="C6EFCE"/>
          </w:tcPr>
          <w:p>
            <w:pPr>
              <w:jc w:val="center"/>
            </w:pPr>
            <w:r>
              <w:rPr>
                <w:sz w:val="20"/>
              </w:rPr>
              <w:t>288</w:t>
            </w:r>
          </w:p>
        </w:tc>
        <w:tc>
          <w:tcPr>
            <w:tcW w:type="dxa" w:w="1728"/>
            <w:shd w:fill="C6EFCE"/>
          </w:tcPr>
          <w:p>
            <w:pPr>
              <w:jc w:val="center"/>
            </w:pPr>
            <w:r>
              <w:rPr>
                <w:sz w:val="20"/>
              </w:rPr>
              <w:t>99.66%</w:t>
            </w:r>
          </w:p>
        </w:tc>
      </w:tr>
      <w:tr>
        <w:tc>
          <w:tcPr>
            <w:tcW w:type="dxa" w:w="2592"/>
            <w:shd w:fill="C6EFCE"/>
          </w:tcPr>
          <w:p>
            <w:pPr>
              <w:jc w:val="center"/>
            </w:pPr>
            <w:r>
              <w:rPr>
                <w:sz w:val="20"/>
              </w:rPr>
              <w:t>Rafael Uribe</w:t>
            </w:r>
          </w:p>
        </w:tc>
        <w:tc>
          <w:tcPr>
            <w:tcW w:type="dxa" w:w="1296"/>
            <w:shd w:fill="C6EFCE"/>
          </w:tcPr>
          <w:p>
            <w:pPr>
              <w:jc w:val="center"/>
            </w:pPr>
            <w:r>
              <w:rPr>
                <w:sz w:val="20"/>
              </w:rPr>
              <w:t>100</w:t>
            </w:r>
          </w:p>
        </w:tc>
        <w:tc>
          <w:tcPr>
            <w:tcW w:type="dxa" w:w="1728"/>
            <w:shd w:fill="C6EFCE"/>
          </w:tcPr>
          <w:p>
            <w:pPr>
              <w:jc w:val="center"/>
            </w:pPr>
            <w:r>
              <w:rPr>
                <w:sz w:val="20"/>
              </w:rPr>
              <w:t>71,640</w:t>
            </w:r>
          </w:p>
        </w:tc>
        <w:tc>
          <w:tcPr>
            <w:tcW w:type="dxa" w:w="1728"/>
            <w:shd w:fill="C6EFCE"/>
          </w:tcPr>
          <w:p>
            <w:pPr>
              <w:jc w:val="center"/>
            </w:pPr>
            <w:r>
              <w:rPr>
                <w:sz w:val="20"/>
              </w:rPr>
              <w:t>360</w:t>
            </w:r>
          </w:p>
        </w:tc>
        <w:tc>
          <w:tcPr>
            <w:tcW w:type="dxa" w:w="1728"/>
            <w:shd w:fill="C6EFCE"/>
          </w:tcPr>
          <w:p>
            <w:pPr>
              <w:jc w:val="center"/>
            </w:pPr>
            <w:r>
              <w:rPr>
                <w:sz w:val="20"/>
              </w:rPr>
              <w:t>99.50%</w:t>
            </w:r>
          </w:p>
        </w:tc>
      </w:tr>
      <w:tr>
        <w:tc>
          <w:tcPr>
            <w:tcW w:type="dxa" w:w="2592"/>
            <w:shd w:fill="C6EFCE"/>
          </w:tcPr>
          <w:p>
            <w:pPr>
              <w:jc w:val="center"/>
            </w:pPr>
            <w:r>
              <w:rPr>
                <w:sz w:val="20"/>
              </w:rPr>
              <w:t>Usaquén</w:t>
            </w:r>
          </w:p>
        </w:tc>
        <w:tc>
          <w:tcPr>
            <w:tcW w:type="dxa" w:w="1296"/>
            <w:shd w:fill="C6EFCE"/>
          </w:tcPr>
          <w:p>
            <w:pPr>
              <w:jc w:val="center"/>
            </w:pPr>
            <w:r>
              <w:rPr>
                <w:sz w:val="20"/>
              </w:rPr>
              <w:t>97</w:t>
            </w:r>
          </w:p>
        </w:tc>
        <w:tc>
          <w:tcPr>
            <w:tcW w:type="dxa" w:w="1728"/>
            <w:shd w:fill="C6EFCE"/>
          </w:tcPr>
          <w:p>
            <w:pPr>
              <w:jc w:val="center"/>
            </w:pPr>
            <w:r>
              <w:rPr>
                <w:sz w:val="20"/>
              </w:rPr>
              <w:t>69,552</w:t>
            </w:r>
          </w:p>
        </w:tc>
        <w:tc>
          <w:tcPr>
            <w:tcW w:type="dxa" w:w="1728"/>
            <w:shd w:fill="C6EFCE"/>
          </w:tcPr>
          <w:p>
            <w:pPr>
              <w:jc w:val="center"/>
            </w:pPr>
            <w:r>
              <w:rPr>
                <w:sz w:val="20"/>
              </w:rPr>
              <w:t>288</w:t>
            </w:r>
          </w:p>
        </w:tc>
        <w:tc>
          <w:tcPr>
            <w:tcW w:type="dxa" w:w="1728"/>
            <w:shd w:fill="C6EFCE"/>
          </w:tcPr>
          <w:p>
            <w:pPr>
              <w:jc w:val="center"/>
            </w:pPr>
            <w:r>
              <w:rPr>
                <w:sz w:val="20"/>
              </w:rPr>
              <w:t>99.59%</w:t>
            </w:r>
          </w:p>
        </w:tc>
      </w:tr>
      <w:tr>
        <w:tc>
          <w:tcPr>
            <w:tcW w:type="dxa" w:w="2592"/>
            <w:shd w:fill="C6EFCE"/>
          </w:tcPr>
          <w:p>
            <w:pPr>
              <w:jc w:val="center"/>
            </w:pPr>
            <w:r>
              <w:rPr>
                <w:sz w:val="20"/>
              </w:rPr>
              <w:t>Fontibón</w:t>
            </w:r>
          </w:p>
        </w:tc>
        <w:tc>
          <w:tcPr>
            <w:tcW w:type="dxa" w:w="1296"/>
            <w:shd w:fill="C6EFCE"/>
          </w:tcPr>
          <w:p>
            <w:pPr>
              <w:jc w:val="center"/>
            </w:pPr>
            <w:r>
              <w:rPr>
                <w:sz w:val="20"/>
              </w:rPr>
              <w:t>90</w:t>
            </w:r>
          </w:p>
        </w:tc>
        <w:tc>
          <w:tcPr>
            <w:tcW w:type="dxa" w:w="1728"/>
            <w:shd w:fill="C6EFCE"/>
          </w:tcPr>
          <w:p>
            <w:pPr>
              <w:jc w:val="center"/>
            </w:pPr>
            <w:r>
              <w:rPr>
                <w:sz w:val="20"/>
              </w:rPr>
              <w:t>64,584</w:t>
            </w:r>
          </w:p>
        </w:tc>
        <w:tc>
          <w:tcPr>
            <w:tcW w:type="dxa" w:w="1728"/>
            <w:shd w:fill="C6EFCE"/>
          </w:tcPr>
          <w:p>
            <w:pPr>
              <w:jc w:val="center"/>
            </w:pPr>
            <w:r>
              <w:rPr>
                <w:sz w:val="20"/>
              </w:rPr>
              <w:t>216</w:t>
            </w:r>
          </w:p>
        </w:tc>
        <w:tc>
          <w:tcPr>
            <w:tcW w:type="dxa" w:w="1728"/>
            <w:shd w:fill="C6EFCE"/>
          </w:tcPr>
          <w:p>
            <w:pPr>
              <w:jc w:val="center"/>
            </w:pPr>
            <w:r>
              <w:rPr>
                <w:sz w:val="20"/>
              </w:rPr>
              <w:t>99.67%</w:t>
            </w:r>
          </w:p>
        </w:tc>
      </w:tr>
      <w:tr>
        <w:tc>
          <w:tcPr>
            <w:tcW w:type="dxa" w:w="2592"/>
            <w:shd w:fill="C6EFCE"/>
          </w:tcPr>
          <w:p>
            <w:pPr>
              <w:jc w:val="center"/>
            </w:pPr>
            <w:r>
              <w:rPr>
                <w:sz w:val="20"/>
              </w:rPr>
              <w:t>Otras localidades</w:t>
            </w:r>
          </w:p>
        </w:tc>
        <w:tc>
          <w:tcPr>
            <w:tcW w:type="dxa" w:w="1296"/>
            <w:shd w:fill="C6EFCE"/>
          </w:tcPr>
          <w:p>
            <w:pPr>
              <w:jc w:val="center"/>
            </w:pPr>
            <w:r>
              <w:rPr>
                <w:sz w:val="20"/>
              </w:rPr>
              <w:t>277</w:t>
            </w:r>
          </w:p>
        </w:tc>
        <w:tc>
          <w:tcPr>
            <w:tcW w:type="dxa" w:w="1728"/>
            <w:shd w:fill="C6EFCE"/>
          </w:tcPr>
          <w:p>
            <w:pPr>
              <w:jc w:val="center"/>
            </w:pPr>
            <w:r>
              <w:rPr>
                <w:sz w:val="20"/>
              </w:rPr>
              <w:t>198,576</w:t>
            </w:r>
          </w:p>
        </w:tc>
        <w:tc>
          <w:tcPr>
            <w:tcW w:type="dxa" w:w="1728"/>
            <w:shd w:fill="C6EFCE"/>
          </w:tcPr>
          <w:p>
            <w:pPr>
              <w:jc w:val="center"/>
            </w:pPr>
            <w:r>
              <w:rPr>
                <w:sz w:val="20"/>
              </w:rPr>
              <w:t>864</w:t>
            </w:r>
          </w:p>
        </w:tc>
        <w:tc>
          <w:tcPr>
            <w:tcW w:type="dxa" w:w="1728"/>
            <w:shd w:fill="C6EFCE"/>
          </w:tcPr>
          <w:p>
            <w:pPr>
              <w:jc w:val="center"/>
            </w:pPr>
            <w:r>
              <w:rPr>
                <w:sz w:val="20"/>
              </w:rPr>
              <w:t>99.57%</w:t>
            </w:r>
          </w:p>
        </w:tc>
      </w:tr>
    </w:tbl>
    <w:p/>
    <w:p>
      <w:pPr>
        <w:spacing w:after="120"/>
        <w:jc w:val="both"/>
      </w:pPr>
      <w:r>
        <w:rPr>
          <w:b/>
        </w:rPr>
        <w:t>CÁLCULO DE PENALIDAD:</w:t>
      </w:r>
    </w:p>
    <w:p>
      <w:pPr>
        <w:spacing w:after="120"/>
        <w:jc w:val="both"/>
      </w:pPr>
      <w:r>
        <w:rPr>
          <w:b w:val="0"/>
          <w:color w:val="008000"/>
        </w:rPr>
        <w:t>No aplica penalidad. El ANS fue cumplido satisfactoriamente.</w:t>
      </w:r>
    </w:p>
    <w:p>
      <w:pPr>
        <w:pStyle w:val="Heading2"/>
      </w:pPr>
      <w:r>
        <w:t>3.2. CONSOLIDADO ANS</w:t>
      </w:r>
    </w:p>
    <w:p>
      <w:pPr>
        <w:spacing w:after="120"/>
        <w:jc w:val="both"/>
      </w:pPr>
      <w:r>
        <w:rPr>
          <w:b w:val="0"/>
        </w:rPr>
        <w:t>A continuación se presenta el histórico de cumplimiento del ANS desde el inicio del contrato: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fill="1F4E79"/>
          </w:tcPr>
          <w:p>
            <w:pPr>
              <w:jc w:val="center"/>
            </w:pPr>
            <w:r>
              <w:rPr>
                <w:b/>
                <w:color w:val="FFFFFF"/>
                <w:sz w:val="20"/>
              </w:rPr>
              <w:t>MES</w:t>
            </w:r>
          </w:p>
        </w:tc>
        <w:tc>
          <w:tcPr>
            <w:tcW w:type="dxa" w:w="1584"/>
            <w:shd w:fill="1F4E79"/>
          </w:tcPr>
          <w:p>
            <w:pPr>
              <w:jc w:val="center"/>
            </w:pPr>
            <w:r>
              <w:rPr>
                <w:b/>
                <w:color w:val="FFFFFF"/>
                <w:sz w:val="20"/>
              </w:rPr>
              <w:t>DISPONIBILIDAD</w:t>
            </w:r>
          </w:p>
        </w:tc>
        <w:tc>
          <w:tcPr>
            <w:tcW w:type="dxa" w:w="1296"/>
            <w:shd w:fill="1F4E79"/>
          </w:tcPr>
          <w:p>
            <w:pPr>
              <w:jc w:val="center"/>
            </w:pPr>
            <w:r>
              <w:rPr>
                <w:b/>
                <w:color w:val="FFFFFF"/>
                <w:sz w:val="20"/>
              </w:rPr>
              <w:t>UMBRAL</w:t>
            </w:r>
          </w:p>
        </w:tc>
        <w:tc>
          <w:tcPr>
            <w:tcW w:type="dxa" w:w="1440"/>
            <w:shd w:fill="1F4E79"/>
          </w:tcPr>
          <w:p>
            <w:pPr>
              <w:jc w:val="center"/>
            </w:pPr>
            <w:r>
              <w:rPr>
                <w:b/>
                <w:color w:val="FFFFFF"/>
                <w:sz w:val="20"/>
              </w:rPr>
              <w:t>ESTADO</w:t>
            </w:r>
          </w:p>
        </w:tc>
        <w:tc>
          <w:tcPr>
            <w:tcW w:type="dxa" w:w="3168"/>
            <w:shd w:fill="1F4E79"/>
          </w:tcPr>
          <w:p>
            <w:pPr>
              <w:jc w:val="center"/>
            </w:pPr>
            <w:r>
              <w:rPr>
                <w:b/>
                <w:color w:val="FFFFFF"/>
                <w:sz w:val="20"/>
              </w:rPr>
              <w:t>OBSERVACIONES</w:t>
            </w:r>
          </w:p>
        </w:tc>
      </w:tr>
      <w:tr>
        <w:tc>
          <w:tcPr>
            <w:tcW w:type="dxa" w:w="1872"/>
            <w:shd w:fill="FFC7CE"/>
          </w:tcPr>
          <w:p>
            <w:pPr>
              <w:jc w:val="center"/>
            </w:pPr>
            <w:r>
              <w:rPr>
                <w:sz w:val="20"/>
              </w:rPr>
              <w:t>Noviembre 2024</w:t>
            </w:r>
          </w:p>
        </w:tc>
        <w:tc>
          <w:tcPr>
            <w:tcW w:type="dxa" w:w="1584"/>
            <w:shd w:fill="FFC7CE"/>
          </w:tcPr>
          <w:p>
            <w:pPr>
              <w:jc w:val="center"/>
            </w:pPr>
            <w:r>
              <w:rPr>
                <w:sz w:val="20"/>
              </w:rPr>
              <w:t>98.45%</w:t>
            </w:r>
          </w:p>
        </w:tc>
        <w:tc>
          <w:tcPr>
            <w:tcW w:type="dxa" w:w="1296"/>
            <w:shd w:fill="FFC7CE"/>
          </w:tcPr>
          <w:p>
            <w:pPr>
              <w:jc w:val="center"/>
            </w:pPr>
            <w:r>
              <w:rPr>
                <w:sz w:val="20"/>
              </w:rPr>
              <w:t>98.9%</w:t>
            </w:r>
          </w:p>
        </w:tc>
        <w:tc>
          <w:tcPr>
            <w:tcW w:type="dxa" w:w="1440"/>
            <w:shd w:fill="FFC7CE"/>
          </w:tcPr>
          <w:p>
            <w:pPr>
              <w:jc w:val="center"/>
            </w:pPr>
            <w:r>
              <w:rPr>
                <w:sz w:val="20"/>
              </w:rPr>
              <w:t>✗ No cumple</w:t>
            </w:r>
          </w:p>
        </w:tc>
        <w:tc>
          <w:tcPr>
            <w:tcW w:type="dxa" w:w="3168"/>
            <w:shd w:fill="FFC7CE"/>
          </w:tcPr>
          <w:p>
            <w:pPr>
              <w:jc w:val="center"/>
            </w:pPr>
            <w:r>
              <w:rPr>
                <w:sz w:val="20"/>
              </w:rPr>
              <w:t>Inicio de contrato</w:t>
            </w:r>
          </w:p>
        </w:tc>
      </w:tr>
      <w:tr>
        <w:tc>
          <w:tcPr>
            <w:tcW w:type="dxa" w:w="1872"/>
            <w:shd w:fill="C6EFCE"/>
          </w:tcPr>
          <w:p>
            <w:pPr>
              <w:jc w:val="center"/>
            </w:pPr>
            <w:r>
              <w:rPr>
                <w:sz w:val="20"/>
              </w:rPr>
              <w:t>Diciembre 2024</w:t>
            </w:r>
          </w:p>
        </w:tc>
        <w:tc>
          <w:tcPr>
            <w:tcW w:type="dxa" w:w="1584"/>
            <w:shd w:fill="C6EFCE"/>
          </w:tcPr>
          <w:p>
            <w:pPr>
              <w:jc w:val="center"/>
            </w:pPr>
            <w:r>
              <w:rPr>
                <w:sz w:val="20"/>
              </w:rPr>
              <w:t>98.92%</w:t>
            </w:r>
          </w:p>
        </w:tc>
        <w:tc>
          <w:tcPr>
            <w:tcW w:type="dxa" w:w="1296"/>
            <w:shd w:fill="C6EFCE"/>
          </w:tcPr>
          <w:p>
            <w:pPr>
              <w:jc w:val="center"/>
            </w:pPr>
            <w:r>
              <w:rPr>
                <w:sz w:val="20"/>
              </w:rPr>
              <w:t>98.9%</w:t>
            </w:r>
          </w:p>
        </w:tc>
        <w:tc>
          <w:tcPr>
            <w:tcW w:type="dxa" w:w="1440"/>
            <w:shd w:fill="C6EFCE"/>
          </w:tcPr>
          <w:p>
            <w:pPr>
              <w:jc w:val="center"/>
            </w:pPr>
            <w:r>
              <w:rPr>
                <w:sz w:val="20"/>
              </w:rPr>
              <w:t>✓ Cumple</w:t>
            </w:r>
          </w:p>
        </w:tc>
        <w:tc>
          <w:tcPr>
            <w:tcW w:type="dxa" w:w="3168"/>
            <w:shd w:fill="C6EFCE"/>
          </w:tcPr>
          <w:p>
            <w:pPr>
              <w:jc w:val="center"/>
            </w:pPr>
            <w:r>
              <w:rPr>
                <w:sz w:val="20"/>
              </w:rPr>
              <w:t>-</w:t>
            </w:r>
          </w:p>
        </w:tc>
      </w:tr>
      <w:tr>
        <w:tc>
          <w:tcPr>
            <w:tcW w:type="dxa" w:w="1872"/>
            <w:shd w:fill="C6EFCE"/>
          </w:tcPr>
          <w:p>
            <w:pPr>
              <w:jc w:val="center"/>
            </w:pPr>
            <w:r>
              <w:rPr>
                <w:sz w:val="20"/>
              </w:rPr>
              <w:t>Enero 2025</w:t>
            </w:r>
          </w:p>
        </w:tc>
        <w:tc>
          <w:tcPr>
            <w:tcW w:type="dxa" w:w="1584"/>
            <w:shd w:fill="C6EFCE"/>
          </w:tcPr>
          <w:p>
            <w:pPr>
              <w:jc w:val="center"/>
            </w:pPr>
            <w:r>
              <w:rPr>
                <w:sz w:val="20"/>
              </w:rPr>
              <w:t>99.05%</w:t>
            </w:r>
          </w:p>
        </w:tc>
        <w:tc>
          <w:tcPr>
            <w:tcW w:type="dxa" w:w="1296"/>
            <w:shd w:fill="C6EFCE"/>
          </w:tcPr>
          <w:p>
            <w:pPr>
              <w:jc w:val="center"/>
            </w:pPr>
            <w:r>
              <w:rPr>
                <w:sz w:val="20"/>
              </w:rPr>
              <w:t>98.9%</w:t>
            </w:r>
          </w:p>
        </w:tc>
        <w:tc>
          <w:tcPr>
            <w:tcW w:type="dxa" w:w="1440"/>
            <w:shd w:fill="C6EFCE"/>
          </w:tcPr>
          <w:p>
            <w:pPr>
              <w:jc w:val="center"/>
            </w:pPr>
            <w:r>
              <w:rPr>
                <w:sz w:val="20"/>
              </w:rPr>
              <w:t>✓ Cumple</w:t>
            </w:r>
          </w:p>
        </w:tc>
        <w:tc>
          <w:tcPr>
            <w:tcW w:type="dxa" w:w="3168"/>
            <w:shd w:fill="C6EFCE"/>
          </w:tcPr>
          <w:p>
            <w:pPr>
              <w:jc w:val="center"/>
            </w:pPr>
            <w:r>
              <w:rPr>
                <w:sz w:val="20"/>
              </w:rPr>
              <w:t>-</w:t>
            </w:r>
          </w:p>
        </w:tc>
      </w:tr>
      <w:tr>
        <w:tc>
          <w:tcPr>
            <w:tcW w:type="dxa" w:w="1872"/>
            <w:shd w:fill="C6EFCE"/>
          </w:tcPr>
          <w:p>
            <w:pPr>
              <w:jc w:val="center"/>
            </w:pPr>
            <w:r>
              <w:rPr>
                <w:sz w:val="20"/>
              </w:rPr>
              <w:t>Febrero 2025</w:t>
            </w:r>
          </w:p>
        </w:tc>
        <w:tc>
          <w:tcPr>
            <w:tcW w:type="dxa" w:w="1584"/>
            <w:shd w:fill="C6EFCE"/>
          </w:tcPr>
          <w:p>
            <w:pPr>
              <w:jc w:val="center"/>
            </w:pPr>
            <w:r>
              <w:rPr>
                <w:sz w:val="20"/>
              </w:rPr>
              <w:t>99.18%</w:t>
            </w:r>
          </w:p>
        </w:tc>
        <w:tc>
          <w:tcPr>
            <w:tcW w:type="dxa" w:w="1296"/>
            <w:shd w:fill="C6EFCE"/>
          </w:tcPr>
          <w:p>
            <w:pPr>
              <w:jc w:val="center"/>
            </w:pPr>
            <w:r>
              <w:rPr>
                <w:sz w:val="20"/>
              </w:rPr>
              <w:t>98.9%</w:t>
            </w:r>
          </w:p>
        </w:tc>
        <w:tc>
          <w:tcPr>
            <w:tcW w:type="dxa" w:w="1440"/>
            <w:shd w:fill="C6EFCE"/>
          </w:tcPr>
          <w:p>
            <w:pPr>
              <w:jc w:val="center"/>
            </w:pPr>
            <w:r>
              <w:rPr>
                <w:sz w:val="20"/>
              </w:rPr>
              <w:t>✓ Cumple</w:t>
            </w:r>
          </w:p>
        </w:tc>
        <w:tc>
          <w:tcPr>
            <w:tcW w:type="dxa" w:w="3168"/>
            <w:shd w:fill="C6EFCE"/>
          </w:tcPr>
          <w:p>
            <w:pPr>
              <w:jc w:val="center"/>
            </w:pPr>
            <w:r>
              <w:rPr>
                <w:sz w:val="20"/>
              </w:rPr>
              <w:t>-</w:t>
            </w:r>
          </w:p>
        </w:tc>
      </w:tr>
      <w:tr>
        <w:tc>
          <w:tcPr>
            <w:tcW w:type="dxa" w:w="1872"/>
            <w:shd w:fill="FFC7CE"/>
          </w:tcPr>
          <w:p>
            <w:pPr>
              <w:jc w:val="center"/>
            </w:pPr>
            <w:r>
              <w:rPr>
                <w:sz w:val="20"/>
              </w:rPr>
              <w:t>Marzo 2025</w:t>
            </w:r>
          </w:p>
        </w:tc>
        <w:tc>
          <w:tcPr>
            <w:tcW w:type="dxa" w:w="1584"/>
            <w:shd w:fill="FFC7CE"/>
          </w:tcPr>
          <w:p>
            <w:pPr>
              <w:jc w:val="center"/>
            </w:pPr>
            <w:r>
              <w:rPr>
                <w:sz w:val="20"/>
              </w:rPr>
              <w:t>98.67%</w:t>
            </w:r>
          </w:p>
        </w:tc>
        <w:tc>
          <w:tcPr>
            <w:tcW w:type="dxa" w:w="1296"/>
            <w:shd w:fill="FFC7CE"/>
          </w:tcPr>
          <w:p>
            <w:pPr>
              <w:jc w:val="center"/>
            </w:pPr>
            <w:r>
              <w:rPr>
                <w:sz w:val="20"/>
              </w:rPr>
              <w:t>98.9%</w:t>
            </w:r>
          </w:p>
        </w:tc>
        <w:tc>
          <w:tcPr>
            <w:tcW w:type="dxa" w:w="1440"/>
            <w:shd w:fill="FFC7CE"/>
          </w:tcPr>
          <w:p>
            <w:pPr>
              <w:jc w:val="center"/>
            </w:pPr>
            <w:r>
              <w:rPr>
                <w:sz w:val="20"/>
              </w:rPr>
              <w:t>✗ No cumple</w:t>
            </w:r>
          </w:p>
        </w:tc>
        <w:tc>
          <w:tcPr>
            <w:tcW w:type="dxa" w:w="3168"/>
            <w:shd w:fill="FFC7CE"/>
          </w:tcPr>
          <w:p>
            <w:pPr>
              <w:jc w:val="center"/>
            </w:pPr>
            <w:r>
              <w:rPr>
                <w:sz w:val="20"/>
              </w:rPr>
              <w:t>Caída masiva Kennedy</w:t>
            </w:r>
          </w:p>
        </w:tc>
      </w:tr>
      <w:tr>
        <w:tc>
          <w:tcPr>
            <w:tcW w:type="dxa" w:w="1872"/>
            <w:shd w:fill="C6EFCE"/>
          </w:tcPr>
          <w:p>
            <w:pPr>
              <w:jc w:val="center"/>
            </w:pPr>
            <w:r>
              <w:rPr>
                <w:sz w:val="20"/>
              </w:rPr>
              <w:t>Abril 2025</w:t>
            </w:r>
          </w:p>
        </w:tc>
        <w:tc>
          <w:tcPr>
            <w:tcW w:type="dxa" w:w="1584"/>
            <w:shd w:fill="C6EFCE"/>
          </w:tcPr>
          <w:p>
            <w:pPr>
              <w:jc w:val="center"/>
            </w:pPr>
            <w:r>
              <w:rPr>
                <w:sz w:val="20"/>
              </w:rPr>
              <w:t>99.21%</w:t>
            </w:r>
          </w:p>
        </w:tc>
        <w:tc>
          <w:tcPr>
            <w:tcW w:type="dxa" w:w="1296"/>
            <w:shd w:fill="C6EFCE"/>
          </w:tcPr>
          <w:p>
            <w:pPr>
              <w:jc w:val="center"/>
            </w:pPr>
            <w:r>
              <w:rPr>
                <w:sz w:val="20"/>
              </w:rPr>
              <w:t>98.9%</w:t>
            </w:r>
          </w:p>
        </w:tc>
        <w:tc>
          <w:tcPr>
            <w:tcW w:type="dxa" w:w="1440"/>
            <w:shd w:fill="C6EFCE"/>
          </w:tcPr>
          <w:p>
            <w:pPr>
              <w:jc w:val="center"/>
            </w:pPr>
            <w:r>
              <w:rPr>
                <w:sz w:val="20"/>
              </w:rPr>
              <w:t>✓ Cumple</w:t>
            </w:r>
          </w:p>
        </w:tc>
        <w:tc>
          <w:tcPr>
            <w:tcW w:type="dxa" w:w="3168"/>
            <w:shd w:fill="C6EFCE"/>
          </w:tcPr>
          <w:p>
            <w:pPr>
              <w:jc w:val="center"/>
            </w:pPr>
            <w:r>
              <w:rPr>
                <w:sz w:val="20"/>
              </w:rPr>
              <w:t>-</w:t>
            </w:r>
          </w:p>
        </w:tc>
      </w:tr>
      <w:tr>
        <w:tc>
          <w:tcPr>
            <w:tcW w:type="dxa" w:w="1872"/>
            <w:shd w:fill="C6EFCE"/>
          </w:tcPr>
          <w:p>
            <w:pPr>
              <w:jc w:val="center"/>
            </w:pPr>
            <w:r>
              <w:rPr>
                <w:sz w:val="20"/>
              </w:rPr>
              <w:t>Mayo 2025</w:t>
            </w:r>
          </w:p>
        </w:tc>
        <w:tc>
          <w:tcPr>
            <w:tcW w:type="dxa" w:w="1584"/>
            <w:shd w:fill="C6EFCE"/>
          </w:tcPr>
          <w:p>
            <w:pPr>
              <w:jc w:val="center"/>
            </w:pPr>
            <w:r>
              <w:rPr>
                <w:sz w:val="20"/>
              </w:rPr>
              <w:t>99.34%</w:t>
            </w:r>
          </w:p>
        </w:tc>
        <w:tc>
          <w:tcPr>
            <w:tcW w:type="dxa" w:w="1296"/>
            <w:shd w:fill="C6EFCE"/>
          </w:tcPr>
          <w:p>
            <w:pPr>
              <w:jc w:val="center"/>
            </w:pPr>
            <w:r>
              <w:rPr>
                <w:sz w:val="20"/>
              </w:rPr>
              <w:t>98.9%</w:t>
            </w:r>
          </w:p>
        </w:tc>
        <w:tc>
          <w:tcPr>
            <w:tcW w:type="dxa" w:w="1440"/>
            <w:shd w:fill="C6EFCE"/>
          </w:tcPr>
          <w:p>
            <w:pPr>
              <w:jc w:val="center"/>
            </w:pPr>
            <w:r>
              <w:rPr>
                <w:sz w:val="20"/>
              </w:rPr>
              <w:t>✓ Cumple</w:t>
            </w:r>
          </w:p>
        </w:tc>
        <w:tc>
          <w:tcPr>
            <w:tcW w:type="dxa" w:w="3168"/>
            <w:shd w:fill="C6EFCE"/>
          </w:tcPr>
          <w:p>
            <w:pPr>
              <w:jc w:val="center"/>
            </w:pPr>
            <w:r>
              <w:rPr>
                <w:sz w:val="20"/>
              </w:rPr>
              <w:t>-</w:t>
            </w:r>
          </w:p>
        </w:tc>
      </w:tr>
      <w:tr>
        <w:tc>
          <w:tcPr>
            <w:tcW w:type="dxa" w:w="1872"/>
            <w:shd w:fill="C6EFCE"/>
          </w:tcPr>
          <w:p>
            <w:pPr>
              <w:jc w:val="center"/>
            </w:pPr>
            <w:r>
              <w:rPr>
                <w:sz w:val="20"/>
              </w:rPr>
              <w:t>Junio 2025</w:t>
            </w:r>
          </w:p>
        </w:tc>
        <w:tc>
          <w:tcPr>
            <w:tcW w:type="dxa" w:w="1584"/>
            <w:shd w:fill="C6EFCE"/>
          </w:tcPr>
          <w:p>
            <w:pPr>
              <w:jc w:val="center"/>
            </w:pPr>
            <w:r>
              <w:rPr>
                <w:sz w:val="20"/>
              </w:rPr>
              <w:t>99.08%</w:t>
            </w:r>
          </w:p>
        </w:tc>
        <w:tc>
          <w:tcPr>
            <w:tcW w:type="dxa" w:w="1296"/>
            <w:shd w:fill="C6EFCE"/>
          </w:tcPr>
          <w:p>
            <w:pPr>
              <w:jc w:val="center"/>
            </w:pPr>
            <w:r>
              <w:rPr>
                <w:sz w:val="20"/>
              </w:rPr>
              <w:t>98.9%</w:t>
            </w:r>
          </w:p>
        </w:tc>
        <w:tc>
          <w:tcPr>
            <w:tcW w:type="dxa" w:w="1440"/>
            <w:shd w:fill="C6EFCE"/>
          </w:tcPr>
          <w:p>
            <w:pPr>
              <w:jc w:val="center"/>
            </w:pPr>
            <w:r>
              <w:rPr>
                <w:sz w:val="20"/>
              </w:rPr>
              <w:t>✓ Cumple</w:t>
            </w:r>
          </w:p>
        </w:tc>
        <w:tc>
          <w:tcPr>
            <w:tcW w:type="dxa" w:w="3168"/>
            <w:shd w:fill="C6EFCE"/>
          </w:tcPr>
          <w:p>
            <w:pPr>
              <w:jc w:val="center"/>
            </w:pPr>
            <w:r>
              <w:rPr>
                <w:sz w:val="20"/>
              </w:rPr>
              <w:t>-</w:t>
            </w:r>
          </w:p>
        </w:tc>
      </w:tr>
      <w:tr>
        <w:tc>
          <w:tcPr>
            <w:tcW w:type="dxa" w:w="1872"/>
            <w:shd w:fill="C6EFCE"/>
          </w:tcPr>
          <w:p>
            <w:pPr>
              <w:jc w:val="center"/>
            </w:pPr>
            <w:r>
              <w:rPr>
                <w:sz w:val="20"/>
              </w:rPr>
              <w:t>Julio 2025</w:t>
            </w:r>
          </w:p>
        </w:tc>
        <w:tc>
          <w:tcPr>
            <w:tcW w:type="dxa" w:w="1584"/>
            <w:shd w:fill="C6EFCE"/>
          </w:tcPr>
          <w:p>
            <w:pPr>
              <w:jc w:val="center"/>
            </w:pPr>
            <w:r>
              <w:rPr>
                <w:sz w:val="20"/>
              </w:rPr>
              <w:t>99.15%</w:t>
            </w:r>
          </w:p>
        </w:tc>
        <w:tc>
          <w:tcPr>
            <w:tcW w:type="dxa" w:w="1296"/>
            <w:shd w:fill="C6EFCE"/>
          </w:tcPr>
          <w:p>
            <w:pPr>
              <w:jc w:val="center"/>
            </w:pPr>
            <w:r>
              <w:rPr>
                <w:sz w:val="20"/>
              </w:rPr>
              <w:t>98.9%</w:t>
            </w:r>
          </w:p>
        </w:tc>
        <w:tc>
          <w:tcPr>
            <w:tcW w:type="dxa" w:w="1440"/>
            <w:shd w:fill="C6EFCE"/>
          </w:tcPr>
          <w:p>
            <w:pPr>
              <w:jc w:val="center"/>
            </w:pPr>
            <w:r>
              <w:rPr>
                <w:sz w:val="20"/>
              </w:rPr>
              <w:t>✓ Cumple</w:t>
            </w:r>
          </w:p>
        </w:tc>
        <w:tc>
          <w:tcPr>
            <w:tcW w:type="dxa" w:w="3168"/>
            <w:shd w:fill="C6EFCE"/>
          </w:tcPr>
          <w:p>
            <w:pPr>
              <w:jc w:val="center"/>
            </w:pPr>
            <w:r>
              <w:rPr>
                <w:sz w:val="20"/>
              </w:rPr>
              <w:t>-</w:t>
            </w:r>
          </w:p>
        </w:tc>
      </w:tr>
      <w:tr>
        <w:tc>
          <w:tcPr>
            <w:tcW w:type="dxa" w:w="1872"/>
            <w:shd w:fill="FFC7CE"/>
          </w:tcPr>
          <w:p>
            <w:pPr>
              <w:jc w:val="center"/>
            </w:pPr>
            <w:r>
              <w:rPr>
                <w:sz w:val="20"/>
              </w:rPr>
              <w:t>Agosto 2025</w:t>
            </w:r>
          </w:p>
        </w:tc>
        <w:tc>
          <w:tcPr>
            <w:tcW w:type="dxa" w:w="1584"/>
            <w:shd w:fill="FFC7CE"/>
          </w:tcPr>
          <w:p>
            <w:pPr>
              <w:jc w:val="center"/>
            </w:pPr>
            <w:r>
              <w:rPr>
                <w:sz w:val="20"/>
              </w:rPr>
              <w:t>98.87%</w:t>
            </w:r>
          </w:p>
        </w:tc>
        <w:tc>
          <w:tcPr>
            <w:tcW w:type="dxa" w:w="1296"/>
            <w:shd w:fill="FFC7CE"/>
          </w:tcPr>
          <w:p>
            <w:pPr>
              <w:jc w:val="center"/>
            </w:pPr>
            <w:r>
              <w:rPr>
                <w:sz w:val="20"/>
              </w:rPr>
              <w:t>98.9%</w:t>
            </w:r>
          </w:p>
        </w:tc>
        <w:tc>
          <w:tcPr>
            <w:tcW w:type="dxa" w:w="1440"/>
            <w:shd w:fill="FFC7CE"/>
          </w:tcPr>
          <w:p>
            <w:pPr>
              <w:jc w:val="center"/>
            </w:pPr>
            <w:r>
              <w:rPr>
                <w:sz w:val="20"/>
              </w:rPr>
              <w:t>✗ No cumple</w:t>
            </w:r>
          </w:p>
        </w:tc>
        <w:tc>
          <w:tcPr>
            <w:tcW w:type="dxa" w:w="3168"/>
            <w:shd w:fill="FFC7CE"/>
          </w:tcPr>
          <w:p>
            <w:pPr>
              <w:jc w:val="center"/>
            </w:pPr>
            <w:r>
              <w:rPr>
                <w:sz w:val="20"/>
              </w:rPr>
              <w:t>Fallas múltiples energía</w:t>
            </w:r>
          </w:p>
        </w:tc>
      </w:tr>
      <w:tr>
        <w:tc>
          <w:tcPr>
            <w:tcW w:type="dxa" w:w="1872"/>
            <w:shd w:fill="C6EFCE"/>
          </w:tcPr>
          <w:p>
            <w:pPr>
              <w:jc w:val="center"/>
            </w:pPr>
            <w:r>
              <w:rPr>
                <w:sz w:val="20"/>
              </w:rPr>
              <w:t>Septiembre 2025</w:t>
            </w:r>
          </w:p>
        </w:tc>
        <w:tc>
          <w:tcPr>
            <w:tcW w:type="dxa" w:w="1584"/>
            <w:shd w:fill="C6EFCE"/>
          </w:tcPr>
          <w:p>
            <w:pPr>
              <w:jc w:val="center"/>
            </w:pPr>
            <w:r>
              <w:rPr>
                <w:sz w:val="20"/>
              </w:rPr>
              <w:t>99.12%</w:t>
            </w:r>
          </w:p>
        </w:tc>
        <w:tc>
          <w:tcPr>
            <w:tcW w:type="dxa" w:w="1296"/>
            <w:shd w:fill="C6EFCE"/>
          </w:tcPr>
          <w:p>
            <w:pPr>
              <w:jc w:val="center"/>
            </w:pPr>
            <w:r>
              <w:rPr>
                <w:sz w:val="20"/>
              </w:rPr>
              <w:t>98.9%</w:t>
            </w:r>
          </w:p>
        </w:tc>
        <w:tc>
          <w:tcPr>
            <w:tcW w:type="dxa" w:w="1440"/>
            <w:shd w:fill="C6EFCE"/>
          </w:tcPr>
          <w:p>
            <w:pPr>
              <w:jc w:val="center"/>
            </w:pPr>
            <w:r>
              <w:rPr>
                <w:sz w:val="20"/>
              </w:rPr>
              <w:t>✓ Cumple</w:t>
            </w:r>
          </w:p>
        </w:tc>
        <w:tc>
          <w:tcPr>
            <w:tcW w:type="dxa" w:w="3168"/>
            <w:shd w:fill="C6EFCE"/>
          </w:tcPr>
          <w:p>
            <w:pPr>
              <w:jc w:val="center"/>
            </w:pPr>
            <w:r>
              <w:rPr>
                <w:sz w:val="20"/>
              </w:rPr>
              <w:t>Mes actual</w:t>
            </w:r>
          </w:p>
        </w:tc>
      </w:tr>
    </w:tbl>
    <w:p/>
    <w:p>
      <w:pPr>
        <w:spacing w:after="120"/>
        <w:jc w:val="both"/>
      </w:pPr>
      <w:r>
        <w:rPr>
          <w:b/>
        </w:rPr>
        <w:t>RESUMEN ACUMULADO:</w:t>
      </w:r>
    </w:p>
    <w:tbl>
      <w:tblPr>
        <w:tblStyle w:val="TableGrid"/>
        <w:tblW w:type="auto" w:w="0"/>
        <w:jc w:val="center"/>
        <w:tblLook w:firstColumn="1" w:firstRow="1" w:lastColumn="0" w:lastRow="0" w:noHBand="0" w:noVBand="1" w:val="04A0"/>
      </w:tblPr>
      <w:tblGrid>
        <w:gridCol w:w="4320"/>
        <w:gridCol w:w="4320"/>
      </w:tblGrid>
      <w:tr>
        <w:tc>
          <w:tcPr>
            <w:tcW w:type="dxa" w:w="5040"/>
            <w:shd w:fill="1F4E79"/>
          </w:tcPr>
          <w:p>
            <w:pPr>
              <w:jc w:val="center"/>
            </w:pPr>
            <w:r>
              <w:rPr>
                <w:b/>
                <w:color w:val="FFFFFF"/>
                <w:sz w:val="20"/>
              </w:rPr>
              <w:t>INDICADOR</w:t>
            </w:r>
          </w:p>
        </w:tc>
        <w:tc>
          <w:tcPr>
            <w:tcW w:type="dxa" w:w="2880"/>
            <w:shd w:fill="1F4E79"/>
          </w:tcPr>
          <w:p>
            <w:pPr>
              <w:jc w:val="center"/>
            </w:pPr>
            <w:r>
              <w:rPr>
                <w:b/>
                <w:color w:val="FFFFFF"/>
                <w:sz w:val="20"/>
              </w:rPr>
              <w:t>VALOR</w:t>
            </w:r>
          </w:p>
        </w:tc>
      </w:tr>
      <w:tr>
        <w:tc>
          <w:tcPr>
            <w:tcW w:type="dxa" w:w="5040"/>
          </w:tcPr>
          <w:p>
            <w:pPr>
              <w:jc w:val="center"/>
            </w:pPr>
            <w:r>
              <w:rPr>
                <w:sz w:val="20"/>
              </w:rPr>
              <w:t>Total meses evaluados</w:t>
            </w:r>
          </w:p>
        </w:tc>
        <w:tc>
          <w:tcPr>
            <w:tcW w:type="dxa" w:w="2880"/>
          </w:tcPr>
          <w:p>
            <w:pPr>
              <w:jc w:val="center"/>
            </w:pPr>
            <w:r>
              <w:rPr>
                <w:sz w:val="20"/>
              </w:rPr>
              <w:t>11</w:t>
            </w:r>
          </w:p>
        </w:tc>
      </w:tr>
      <w:tr>
        <w:tc>
          <w:tcPr>
            <w:tcW w:type="dxa" w:w="5040"/>
          </w:tcPr>
          <w:p>
            <w:pPr>
              <w:jc w:val="center"/>
            </w:pPr>
            <w:r>
              <w:rPr>
                <w:sz w:val="20"/>
              </w:rPr>
              <w:t>Meses con ANS cumplido</w:t>
            </w:r>
          </w:p>
        </w:tc>
        <w:tc>
          <w:tcPr>
            <w:tcW w:type="dxa" w:w="2880"/>
          </w:tcPr>
          <w:p>
            <w:pPr>
              <w:jc w:val="center"/>
            </w:pPr>
            <w:r>
              <w:rPr>
                <w:sz w:val="20"/>
              </w:rPr>
              <w:t>8</w:t>
            </w:r>
          </w:p>
        </w:tc>
      </w:tr>
      <w:tr>
        <w:tc>
          <w:tcPr>
            <w:tcW w:type="dxa" w:w="5040"/>
          </w:tcPr>
          <w:p>
            <w:pPr>
              <w:jc w:val="center"/>
            </w:pPr>
            <w:r>
              <w:rPr>
                <w:sz w:val="20"/>
              </w:rPr>
              <w:t>Meses con ANS no cumplido</w:t>
            </w:r>
          </w:p>
        </w:tc>
        <w:tc>
          <w:tcPr>
            <w:tcW w:type="dxa" w:w="2880"/>
          </w:tcPr>
          <w:p>
            <w:pPr>
              <w:jc w:val="center"/>
            </w:pPr>
            <w:r>
              <w:rPr>
                <w:sz w:val="20"/>
              </w:rPr>
              <w:t>3</w:t>
            </w:r>
          </w:p>
        </w:tc>
      </w:tr>
      <w:tr>
        <w:tc>
          <w:tcPr>
            <w:tcW w:type="dxa" w:w="5040"/>
          </w:tcPr>
          <w:p>
            <w:pPr>
              <w:jc w:val="center"/>
            </w:pPr>
            <w:r>
              <w:rPr>
                <w:sz w:val="20"/>
              </w:rPr>
              <w:t>Porcentaje de cumplimiento</w:t>
            </w:r>
          </w:p>
        </w:tc>
        <w:tc>
          <w:tcPr>
            <w:tcW w:type="dxa" w:w="2880"/>
          </w:tcPr>
          <w:p>
            <w:pPr>
              <w:jc w:val="center"/>
            </w:pPr>
            <w:r>
              <w:rPr>
                <w:sz w:val="20"/>
              </w:rPr>
              <w:t>72.7%</w:t>
            </w:r>
          </w:p>
        </w:tc>
      </w:tr>
      <w:tr>
        <w:tc>
          <w:tcPr>
            <w:tcW w:type="dxa" w:w="5040"/>
          </w:tcPr>
          <w:p>
            <w:pPr>
              <w:jc w:val="center"/>
            </w:pPr>
            <w:r>
              <w:rPr>
                <w:sz w:val="20"/>
              </w:rPr>
              <w:t>Disponibilidad promedio</w:t>
            </w:r>
          </w:p>
        </w:tc>
        <w:tc>
          <w:tcPr>
            <w:tcW w:type="dxa" w:w="2880"/>
          </w:tcPr>
          <w:p>
            <w:pPr>
              <w:jc w:val="center"/>
            </w:pPr>
            <w:r>
              <w:rPr>
                <w:sz w:val="20"/>
              </w:rPr>
              <w:t>99.00%</w:t>
            </w:r>
          </w:p>
        </w:tc>
      </w:tr>
    </w:tbl>
    <w:p/>
    <w:p>
      <w:pPr>
        <w:spacing w:after="120"/>
        <w:jc w:val="both"/>
      </w:pPr>
      <w:r>
        <w:rPr>
          <w:b w:val="0"/>
        </w:rPr>
        <w:t>Nota: Los gráficos de tendencia del ANS se encuentran en el Anexo 3.1 del presente informe.</w:t>
      </w:r>
    </w:p>
    <w:p/>
    <w:p>
      <w:pPr>
        <w:jc w:val="center"/>
      </w:pPr>
      <w:r>
        <w:t>════════════════════════════════════════════════════════════</w:t>
      </w:r>
    </w:p>
    <w:p>
      <w:pPr>
        <w:jc w:val="center"/>
      </w:pPr>
      <w:r>
        <w:rPr>
          <w:i/>
          <w:color w:val="808080"/>
        </w:rPr>
        <w:t>Fin Sección 3 - Informes de Medición de Niveles de Servicio (ANS)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