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CONCLUSIONES</w:t>
      </w:r>
    </w:p>
    <w:p/>
    <w:p>
      <w:r>
        <w:t>A continuación se presentan las conclusiones del informe mensual del contrato SCJ-1809-2024:</w:t>
      </w:r>
    </w:p>
    <w:p/>
    <w:p>
      <w:pPr>
        <w:pStyle w:val="ListBullet"/>
      </w:pPr>
      <w:r>
        <w:t>{% for item in conclusiones_texto %}{{ item }}{% endfor %}</w:t>
      </w:r>
    </w:p>
    <w:p>
      <w:pPr>
        <w:pStyle w:val="ListBullet"/>
      </w:pPr>
      <w:r>
        <w:t>{{ item }}</w:t>
      </w:r>
    </w:p>
    <w:p>
      <w:r>
        <w:rPr>
          <w:i/>
          <w:color w:val="808080"/>
        </w:rPr>
        <w:t>{% if not hay_conclusiones %}No se registran conclusiones para el periodo.{%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12 - Conclusiones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