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13. ANEXOS</w:t>
      </w:r>
    </w:p>
    <w:p/>
    <w:p>
      <w:r>
        <w:t>A continuación se relacionan los anexos correspondientes al periodo evaluado: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RUTA</w:t>
            </w:r>
          </w:p>
        </w:tc>
      </w:tr>
      <w:tr>
        <w:tc>
          <w:tcPr>
            <w:tcW w:type="dxa" w:w="2880"/>
          </w:tcPr>
          <w:p>
            <w:r>
              <w:t>{% for item in anexos %}{{ item.nombre }}</w:t>
            </w:r>
          </w:p>
        </w:tc>
        <w:tc>
          <w:tcPr>
            <w:tcW w:type="dxa" w:w="2880"/>
          </w:tcPr>
          <w:p>
            <w:r>
              <w:t>{{ item.tipo }}</w:t>
            </w:r>
          </w:p>
        </w:tc>
        <w:tc>
          <w:tcPr>
            <w:tcW w:type="dxa" w:w="2880"/>
          </w:tcPr>
          <w:p>
            <w:r>
              <w:t>{{ item.ruta }}{% endfor %}</w:t>
            </w:r>
          </w:p>
        </w:tc>
      </w:tr>
    </w:tbl>
    <w:p>
      <w:r>
        <w:rPr>
          <w:i/>
          <w:color w:val="808080"/>
        </w:rPr>
        <w:t>{% if not hay_anexos %}No se registran anexos para el periodo.{% endif %}</w:t>
      </w:r>
    </w:p>
    <w:p/>
    <w:p>
      <w:pPr>
        <w:jc w:val="center"/>
      </w:pPr>
      <w: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i/>
          <w:color w:val="808080"/>
        </w:rPr>
        <w:t>Fin Sección 13 - Anexos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