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 INFORME DE BIENES Y SERVICIOS</w:t>
      </w:r>
    </w:p>
    <w:p>
      <w:pPr>
        <w:pStyle w:val="Heading2"/>
      </w:pPr>
      <w:r>
        <w:t>4.1. GESTIÓN DE INVENTARIO</w:t>
      </w:r>
    </w:p>
    <w:p>
      <w:pPr>
        <w:spacing w:after="120"/>
        <w:jc w:val="both"/>
      </w:pPr>
      <w:r>
        <w:rPr>
          <w:b w:val="0"/>
          <w:i w:val="0"/>
        </w:rPr>
        <w:t>Gestion de inventario de equipos</w:t>
      </w:r>
    </w:p>
    <w:p>
      <w:pPr>
        <w:pStyle w:val="Heading2"/>
      </w:pPr>
      <w:r>
        <w:t>4.2. ENTRADAS ALMACÉN SDSCJ</w:t>
      </w:r>
    </w:p>
    <w:p>
      <w:pPr>
        <w:spacing w:after="120"/>
        <w:jc w:val="both"/>
      </w:pPr>
      <w:r>
        <w:rPr>
          <w:b w:val="0"/>
          <w:i w:val="0"/>
        </w:rPr>
        <w:t>Se relacionan las entradas al almacén SDSCJ durante el mes correspondiente, donde se registran los equipos y componentes recibidos para el sistema de videovigilancia.</w:t>
      </w:r>
    </w:p>
    <w:p>
      <w:pPr>
        <w:spacing w:after="120"/>
        <w:jc w:val="both"/>
      </w:pPr>
      <w:r>
        <w:rPr>
          <w:b/>
          <w:i w:val="0"/>
        </w:rPr>
        <w:t>Elementos ingresados al almacén: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576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type="dxa" w:w="36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72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72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UND</w:t>
            </w:r>
          </w:p>
        </w:tc>
        <w:tc>
          <w:tcPr>
            <w:tcW w:type="dxa" w:w="144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UNIT.</w:t>
            </w:r>
          </w:p>
        </w:tc>
        <w:tc>
          <w:tcPr>
            <w:tcW w:type="dxa" w:w="144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TOTAL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>
              <w:rPr>
                <w:sz w:val="20"/>
              </w:rPr>
              <w:t>Acople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>
              <w:rPr>
                <w:sz w:val="20"/>
              </w:rPr>
              <w:t>Baterias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>
              <w:rPr>
                <w:sz w:val="20"/>
              </w:rPr>
              <w:t>UPS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>
              <w:rPr>
                <w:sz w:val="20"/>
              </w:rPr>
              <w:t>Camara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</w:pPr>
      <w:r>
        <w:t>4.3. ENTREGA EQUIPOS NO OPERATIVOS ALMACÉN SDSCJ</w:t>
      </w:r>
    </w:p>
    <w:p>
      <w:pPr>
        <w:spacing w:after="120"/>
        <w:jc w:val="both"/>
      </w:pPr>
      <w:r>
        <w:rPr>
          <w:b w:val="0"/>
          <w:i w:val="0"/>
        </w:rPr>
        <w:t>Las bajas operativas por el bla bla bla</w:t>
        <w:br/>
        <w:br/>
        <w:t>los siniestro bla bla bla bla</w:t>
        <w:br/>
        <w:t>Se radica los equipos al almacén SDSCJ que requieren reintegro por su no operatividad en el mes de Noviembre del 2025.</w:t>
      </w:r>
    </w:p>
    <w:p>
      <w:pPr>
        <w:spacing w:after="120"/>
        <w:jc w:val="both"/>
      </w:pPr>
      <w:r>
        <w:rPr>
          <w:b/>
          <w:i w:val="0"/>
        </w:rPr>
        <w:t>Equipos entregados: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576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type="dxa" w:w="288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144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SERIAL</w:t>
            </w:r>
          </w:p>
        </w:tc>
        <w:tc>
          <w:tcPr>
            <w:tcW w:type="dxa" w:w="72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216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MOTIVO</w:t>
            </w:r>
          </w:p>
        </w:tc>
        <w:tc>
          <w:tcPr>
            <w:tcW w:type="dxa" w:w="144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sz w:val="20"/>
              </w:rPr>
              <w:t>aaa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>
                <w:sz w:val="20"/>
              </w:rPr>
              <w:t>Las bajas operativas por el bla bla bla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sz w:val="20"/>
              </w:rPr>
              <w:t>bbb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>
                <w:sz w:val="20"/>
              </w:rPr>
              <w:t>Las bajas operativas por el bla bla bla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sz w:val="20"/>
              </w:rPr>
              <w:t>ccc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>
                <w:sz w:val="20"/>
              </w:rPr>
              <w:t>Las bajas operativas por el bla bla bla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sz w:val="20"/>
              </w:rPr>
              <w:t>aaa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>
                <w:sz w:val="20"/>
              </w:rPr>
              <w:t>los siniestro bla bla bla bla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sz w:val="20"/>
              </w:rPr>
              <w:t>bbb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>
                <w:sz w:val="20"/>
              </w:rPr>
              <w:t>los siniestro bla bla bla bla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sz w:val="20"/>
              </w:rPr>
              <w:t>ccc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>
                <w:sz w:val="20"/>
              </w:rPr>
              <w:t>los siniestro bla bla bla bla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</w:pPr>
      <w:r>
        <w:t>4.4. GESTIONES DE INCLUSIÓN A LA BOLSA</w:t>
      </w:r>
    </w:p>
    <w:p>
      <w:pPr>
        <w:spacing w:after="120"/>
        <w:jc w:val="both"/>
      </w:pPr>
      <w:r>
        <w:rPr>
          <w:b w:val="0"/>
          <w:i w:val="0"/>
        </w:rPr>
        <w:t>Para el periodo comprendido entre el 01 al 30 de Noviembre del 2025 se realizó la presentación de solicitud de inclusión de bolsa de repuestos de:</w:t>
      </w:r>
    </w:p>
    <w:p>
      <w:pPr>
        <w:spacing w:after="120"/>
        <w:jc w:val="both"/>
      </w:pPr>
      <w:r>
        <w:rPr>
          <w:b/>
          <w:i w:val="0"/>
        </w:rPr>
        <w:t>Estado de la solicitud: En proceso</w:t>
      </w:r>
    </w:p>
    <w:p>
      <w:pPr>
        <w:spacing w:after="120"/>
        <w:jc w:val="both"/>
      </w:pPr>
      <w:r>
        <w:rPr>
          <w:b/>
          <w:i w:val="0"/>
        </w:rPr>
        <w:t>Elementos solicitados para inclusión: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576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type="dxa" w:w="288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72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72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UND</w:t>
            </w:r>
          </w:p>
        </w:tc>
        <w:tc>
          <w:tcPr>
            <w:tcW w:type="dxa" w:w="144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UNIT.</w:t>
            </w:r>
          </w:p>
        </w:tc>
        <w:tc>
          <w:tcPr>
            <w:tcW w:type="dxa" w:w="144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TOTAL</w:t>
            </w:r>
          </w:p>
        </w:tc>
        <w:tc>
          <w:tcPr>
            <w:tcW w:type="dxa" w:w="216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sz w:val="20"/>
              </w:rPr>
              <w:t>dasfeasdfasd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20"/>
            <w:vAlign w:val="center"/>
          </w:tcPr>
          <w:p>
            <w:pPr>
              <w:jc w:val="center"/>
            </w:pPr>
            <w:r>
              <w:rPr>
                <w:sz w:val="20"/>
              </w:rPr>
              <w:t>UN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$0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sz w:val="20"/>
              </w:rPr>
              <w:t>$0</w:t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/>
    <w:p>
      <w:pPr>
        <w:jc w:val="center"/>
      </w:pPr>
      <w:r>
        <w:t>════════════════════════════════════════════════════════════</w:t>
      </w:r>
    </w:p>
    <w:p>
      <w:pPr>
        <w:jc w:val="center"/>
      </w:pPr>
      <w:r>
        <w:rPr>
          <w:i/>
          <w:color w:val="808080"/>
        </w:rPr>
        <w:t>Fin Sección 4 - Informe de Bienes y Servicios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