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36"/>
        </w:rPr>
        <w:t>EMPRESA DE TELECOMUNICACIONES DE BOGOTÁ S.A. E.S.P.</w:t>
      </w:r>
    </w:p>
    <w:p/>
    <w:p/>
    <w:p>
      <w:pPr>
        <w:jc w:val="center"/>
      </w:pPr>
      <w:r>
        <w:rPr>
          <w:b/>
          <w:sz w:val="32"/>
        </w:rPr>
        <w:t>INFORME PERIODO SEPTIEMBRE 2025</w:t>
      </w:r>
    </w:p>
    <w:p/>
    <w:p>
      <w:pPr>
        <w:jc w:val="center"/>
      </w:pPr>
      <w:r>
        <w:rPr>
          <w:b/>
          <w:color w:val="2E75B6"/>
          <w:sz w:val="28"/>
        </w:rPr>
        <w:t>CONTRATO SCJ-1809-2024</w:t>
      </w:r>
    </w:p>
    <w:p/>
    <w:p/>
    <w:p>
      <w:pPr>
        <w:jc w:val="center"/>
      </w:pPr>
      <w:r>
        <w:rPr>
          <w:sz w:val="24"/>
        </w:rPr>
        <w:t>BOGOTÁ D.C.</w:t>
      </w:r>
    </w:p>
    <w:p/>
    <w:p>
      <w:pPr>
        <w:jc w:val="center"/>
      </w:pPr>
      <w:r>
        <w:rPr>
          <w:i/>
          <w:sz w:val="22"/>
        </w:rPr>
        <w:t>Septiembre de 2025</w:t>
      </w:r>
    </w:p>
    <w:p>
      <w:r>
        <w:br w:type="page"/>
      </w:r>
    </w:p>
    <w:p>
      <w:pPr>
        <w:pStyle w:val="Heading1"/>
      </w:pPr>
      <w:r>
        <w:t>1. INFORMACIÓN GENERAL DEL CONTRATO SCJ-1809-2024</w:t>
      </w:r>
    </w:p>
    <w:p>
      <w:pPr>
        <w:pStyle w:val="Heading2"/>
      </w:pPr>
      <w:r>
        <w:t>1.1. OBJETO CONTRATO SCJ-1809-2024</w:t>
      </w:r>
    </w:p>
    <w:p>
      <w:pPr>
        <w:spacing w:after="120"/>
        <w:jc w:val="both"/>
      </w:pPr>
      <w:r>
        <w:t>MANTENIMIENTO PREVENTIVO, MANTENIMIENTO CORRECTIVO Y SOPORTE AL SISTEMA DE VIDEOVIGILANCIA DE BOGOTÁ D.C., CON DISPONIBILIDAD DE BOLSA DE REPUESTOS.</w:t>
      </w:r>
    </w:p>
    <w:p>
      <w:pPr>
        <w:pStyle w:val="Heading2"/>
      </w:pPr>
      <w:r>
        <w:t>1.2. ALCANCE</w:t>
      </w:r>
    </w:p>
    <w:p>
      <w:pPr>
        <w:spacing w:after="120"/>
        <w:jc w:val="both"/>
      </w:pPr>
      <w:r>
        <w:t>El alcance del contrato comprende el mantenimiento preventivo, mantenimiento correctivo y soporte técnico al Sistema de Videovigilancia de Bogotá D.C., incluyendo:</w:t>
        <w:br/>
        <w:br/>
        <w:t>a) Mantenimiento preventivo programado de todos los componentes del sistema de videovigilancia.</w:t>
        <w:br/>
        <w:t>b) Mantenimiento correctivo para la reparación y/o reemplazo de componentes que presenten fallas.</w:t>
        <w:br/>
        <w:t>c) Soporte técnico 7x24 para atención de incidentes y requerimientos.</w:t>
        <w:br/>
        <w:t>d) Gestión de la mesa de servicio para registro, seguimiento y cierre de tickets.</w:t>
        <w:br/>
        <w:t>e) Disponibilidad de bolsa de repuestos para garantizar la operatividad del sistema.</w:t>
        <w:br/>
        <w:t>f) Monitoreo continuo de la disponibilidad de los subsistemas.</w:t>
        <w:br/>
        <w:t>g) Generación de informes periódicos de gestión.</w:t>
        <w:br/>
        <w:br/>
        <w:t>El contratista deberá garantizar un nivel de disponibilidad mínimo del 98.9% del sistema de videovigilancia.</w:t>
      </w:r>
    </w:p>
    <w:p>
      <w:pPr>
        <w:pStyle w:val="Heading2"/>
      </w:pPr>
      <w:r>
        <w:t>1.3. DESCRIPCIÓN DE LA INFRAESTRUCTURA DEL SISTEMA</w:t>
      </w:r>
    </w:p>
    <w:p>
      <w:pPr>
        <w:spacing w:after="120"/>
        <w:jc w:val="both"/>
      </w:pPr>
      <w:r>
        <w:t>El Sistema de Videovigilancia de Bogotá D.C. está compuesto por una infraestructura tecnológica distribuida en diferentes subsistemas que permiten la captura, transmisión, almacenamiento y visualización de video en tiempo real para la seguridad ciudadana.</w:t>
        <w:br/>
        <w:br/>
        <w:t>La infraestructura incluye: cámaras de videovigilancia tipo domo PTZ y fijas, equipos de grabación (DVR/NVR), equipos de red y comunicaciones, centros de monitoreo, Data Center principal, sistemas de alimentación eléctrica y respaldo, y software de gestión de video (VMS).</w:t>
      </w:r>
    </w:p>
    <w:p>
      <w:pPr>
        <w:pStyle w:val="Heading2"/>
      </w:pPr>
      <w:r>
        <w:t>1.4. GLOSARIO</w:t>
      </w:r>
    </w:p>
    <w:p>
      <w:pPr>
        <w:spacing w:after="120"/>
        <w:jc w:val="both"/>
      </w:pPr>
      <w:r>
        <w:t>A continuación se presentan las definiciones de los términos técnicos utilizados: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2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TÉRMINO</w:t>
            </w:r>
          </w:p>
        </w:tc>
        <w:tc>
          <w:tcPr>
            <w:tcW w:type="dxa" w:w="763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DEFINICIÓN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20"/>
              </w:rPr>
              <w:t>ANS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sz w:val="20"/>
              </w:rPr>
              <w:t>Acuerdo de Nivel de Servicio. Compromiso contractual de disponibilidad del 98.9%.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20"/>
              </w:rPr>
              <w:t>CCTV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sz w:val="20"/>
              </w:rPr>
              <w:t>Circuito Cerrado de Televisión. Sistema de videovigilancia.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20"/>
              </w:rPr>
              <w:t>DVR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sz w:val="20"/>
              </w:rPr>
              <w:t>Digital Video Recorder. Grabador de video digital.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20"/>
              </w:rPr>
              <w:t>NVR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sz w:val="20"/>
              </w:rPr>
              <w:t>Network Video Recorder. Grabador de video en red.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20"/>
              </w:rPr>
              <w:t>PTZ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sz w:val="20"/>
              </w:rPr>
              <w:t>Pan-Tilt-Zoom. Cámara con capacidad de movimiento y zoom.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20"/>
              </w:rPr>
              <w:t>GLPI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sz w:val="20"/>
              </w:rPr>
              <w:t>Gestionnaire Libre de Parc Informatique. Sistema de gestión de tickets.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20"/>
              </w:rPr>
              <w:t>NUSE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sz w:val="20"/>
              </w:rPr>
              <w:t>Número Único de Seguridad y Emergencias. Línea 123.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20"/>
              </w:rPr>
              <w:t>VMS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sz w:val="20"/>
              </w:rPr>
              <w:t>Video Management System. Software de gestión de video.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20"/>
              </w:rPr>
              <w:t>SDSCJ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sz w:val="20"/>
              </w:rPr>
              <w:t>Secretaría Distrital de Seguridad, Convivencia y Justicia.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20"/>
              </w:rPr>
              <w:t>ETB</w:t>
            </w:r>
          </w:p>
        </w:tc>
        <w:tc>
          <w:tcPr>
            <w:tcW w:type="dxa" w:w="7632"/>
          </w:tcPr>
          <w:p>
            <w:pPr>
              <w:jc w:val="left"/>
            </w:pPr>
            <w:r>
              <w:rPr>
                <w:sz w:val="20"/>
              </w:rPr>
              <w:t>Empresa de Telecomunicaciones de Bogotá S.A. E.S.P.</w:t>
            </w:r>
          </w:p>
        </w:tc>
      </w:tr>
    </w:tbl>
    <w:p/>
    <w:p>
      <w:pPr>
        <w:pStyle w:val="Heading2"/>
      </w:pPr>
      <w:r>
        <w:t>1.5. OBLIGACIONES</w:t>
      </w:r>
    </w:p>
    <w:p>
      <w:pPr>
        <w:pStyle w:val="Heading3"/>
      </w:pPr>
      <w:r>
        <w:t>1.5.1. OBLIGACIONES GENERALES</w:t>
      </w:r>
    </w:p>
    <w:p>
      <w:pPr>
        <w:spacing w:after="120"/>
        <w:jc w:val="both"/>
      </w:pPr>
      <w:r>
        <w:t>El contratista deberá cumplir con las siguientes obligaciones generales:</w:t>
        <w:br/>
        <w:br/>
        <w:t>1. Cumplir con el objeto del contrato en los términos y condiciones establecidos.</w:t>
        <w:br/>
        <w:t>2. Mantener vigentes las garantías contractuales durante la ejecución del contrato.</w:t>
        <w:br/>
        <w:t>3. Acatar las instrucciones del supervisor e interventor del contrato.</w:t>
        <w:br/>
        <w:t>4. Guardar confidencialidad sobre la información a la que tenga acceso.</w:t>
        <w:br/>
        <w:t>5. Mantener el personal mínimo requerido durante toda la ejecución del contrato.</w:t>
        <w:br/>
        <w:t>6. Cumplir con las normas de seguridad y salud en el trabajo.</w:t>
        <w:br/>
        <w:t>7. Cumplir con las obligaciones tributarias y parafiscales.</w:t>
        <w:br/>
        <w:t>8. Presentar los informes requeridos en los plazos establecidos.</w:t>
      </w:r>
    </w:p>
    <w:p>
      <w:pPr>
        <w:pStyle w:val="Heading3"/>
      </w:pPr>
      <w:r>
        <w:t>1.5.2. OBLIGACIONES ESPECÍFICAS DEL CONTRATISTA</w:t>
      </w:r>
    </w:p>
    <w:p>
      <w:pPr>
        <w:spacing w:after="120"/>
        <w:jc w:val="both"/>
      </w:pPr>
      <w:r>
        <w:t>El contratista deberá cumplir con las siguientes obligaciones específicas:</w:t>
        <w:br/>
        <w:br/>
        <w:t>1. Ejecutar el plan de mantenimiento preventivo de acuerdo con el cronograma aprobado.</w:t>
        <w:br/>
        <w:t>2. Atender los mantenimientos correctivos en los tiempos establecidos según la prioridad del ticket.</w:t>
        <w:br/>
        <w:t>3. Mantener operativa la mesa de servicio 7x24 para la recepción de incidentes.</w:t>
        <w:br/>
        <w:t>4. Garantizar el cumplimiento del Acuerdo de Nivel de Servicio (ANS) del 98.9%.</w:t>
        <w:br/>
        <w:t>5. Realizar el diagnóstico y reparación de equipos en el laboratorio técnico.</w:t>
        <w:br/>
        <w:t>6. Gestionar la bolsa de repuestos y mantener el inventario actualizado.</w:t>
      </w:r>
    </w:p>
    <w:p>
      <w:pPr>
        <w:pStyle w:val="Heading3"/>
      </w:pPr>
      <w:r>
        <w:t>1.5.3. OBLIGACIONES ESPECÍFICAS EN MATERIA AMBIENTAL</w:t>
      </w:r>
    </w:p>
    <w:p>
      <w:pPr>
        <w:spacing w:after="120"/>
        <w:jc w:val="both"/>
      </w:pPr>
      <w:r>
        <w:t>El contratista deberá cumplir con las siguientes obligaciones en materia ambiental:</w:t>
        <w:br/>
        <w:br/>
        <w:t>1. Implementar el Plan de Manejo Ambiental aprobado por la entidad.</w:t>
        <w:br/>
        <w:t>2. Realizar la disposición adecuada de residuos electrónicos (RAEE).</w:t>
        <w:br/>
        <w:t>3. Gestionar los residuos peligrosos con empresas autorizadas.</w:t>
        <w:br/>
        <w:t>4. Minimizar el uso de plásticos de un solo uso en las operaciones.</w:t>
        <w:br/>
        <w:t>5. Mantener registros de la gestión ambiental realizada.</w:t>
      </w:r>
    </w:p>
    <w:p>
      <w:pPr>
        <w:pStyle w:val="Heading3"/>
      </w:pPr>
      <w:r>
        <w:t>1.5.4. OBLIGACIONES ANEXOS</w:t>
      </w:r>
    </w:p>
    <w:p>
      <w:pPr>
        <w:spacing w:after="120"/>
        <w:jc w:val="both"/>
      </w:pPr>
      <w:r>
        <w:t>El contratista deberá cumplir con las obligaciones establecidas en los siguientes anexos del contrato:</w:t>
        <w:br/>
        <w:br/>
        <w:t>• Anexo Técnico: Especificaciones técnicas del servicio</w:t>
        <w:br/>
        <w:t>• Anexo de Seguridad: Protocolos de seguridad de la información</w:t>
        <w:br/>
        <w:t>• Anexo SST: Sistema de Gestión de Seguridad y Salud en el Trabajo</w:t>
        <w:br/>
        <w:t>• Anexo Ambiental: Plan de Manejo Ambiental</w:t>
        <w:br/>
        <w:t>• Anexo de Inventario: Listado de equipos objeto del contrato</w:t>
      </w:r>
    </w:p>
    <w:p>
      <w:pPr>
        <w:pStyle w:val="Heading2"/>
      </w:pPr>
      <w:r>
        <w:t>1.6. COMUNICADOS CONTRATO SCJ-1809-2024</w:t>
      </w:r>
    </w:p>
    <w:p>
      <w:pPr>
        <w:pStyle w:val="Heading3"/>
      </w:pPr>
      <w:r>
        <w:t>1.6.1. EMITIDOS CONTRATO SCJ-1809-2024</w:t>
      </w:r>
    </w:p>
    <w:p>
      <w:pPr>
        <w:spacing w:after="120"/>
        <w:jc w:val="both"/>
      </w:pPr>
      <w:r>
        <w:t>Durante el mes de Septiembre de 2025 se emitieron 5 comunicados, los cuales se relacionan a continuación: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 COMUNICADO</w:t>
            </w:r>
          </w:p>
        </w:tc>
        <w:tc>
          <w:tcPr>
            <w:tcW w:type="dxa" w:w="129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460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ASUNTO</w:t>
            </w:r>
          </w:p>
        </w:tc>
        <w:tc>
          <w:tcPr>
            <w:tcW w:type="dxa" w:w="15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ADJUNTOS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0"/>
              </w:rPr>
              <w:t>GSC-7444-2025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20"/>
              </w:rPr>
              <w:t>23/09/2025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INGRESOS ELEMENTOS ALMACÉN SEPTIEMBRE 2025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0"/>
              </w:rPr>
              <w:t>Anexo_4.2.1.pdf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0"/>
              </w:rPr>
              <w:t>GSC-7445-2025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20"/>
              </w:rPr>
              <w:t>25/09/2025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INFORME SEMANAL SEMANA 38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0"/>
              </w:rPr>
              <w:t>Informe_S38.pdf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0"/>
              </w:rPr>
              <w:t>GSC-7446-2025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20"/>
              </w:rPr>
              <w:t>26/09/2025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ENTREGA EQUIPOS NO OPERATIVOS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0"/>
              </w:rPr>
              <w:t>Anexo_4.3.1.pdf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0"/>
              </w:rPr>
              <w:t>GSC-7447-2025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20"/>
              </w:rPr>
              <w:t>28/09/2025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SOLICITUD INCLUSIÓN BOLSA REPUESTOS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0"/>
              </w:rPr>
              <w:t>Anexo_4.4.1.pdf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0"/>
              </w:rPr>
              <w:t>GSC-7448-2025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20"/>
              </w:rPr>
              <w:t>30/09/2025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INFORME MENSUAL SEPTIEMBRE 2025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0"/>
              </w:rPr>
              <w:t>Informe_Sept.pdf</w:t>
            </w:r>
          </w:p>
        </w:tc>
      </w:tr>
    </w:tbl>
    <w:p/>
    <w:p>
      <w:pPr>
        <w:pStyle w:val="Heading3"/>
      </w:pPr>
      <w:r>
        <w:t>1.6.2. RECIBIDOS CONTRATO SCJ-1809-2024</w:t>
      </w:r>
    </w:p>
    <w:p>
      <w:pPr>
        <w:spacing w:after="120"/>
        <w:jc w:val="both"/>
      </w:pPr>
      <w:r>
        <w:t>Durante el mes de Septiembre de 2025 se recibieron 3 comunicados: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No. COMUNICADO</w:t>
            </w:r>
          </w:p>
        </w:tc>
        <w:tc>
          <w:tcPr>
            <w:tcW w:type="dxa" w:w="129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FECHA</w:t>
            </w:r>
          </w:p>
        </w:tc>
        <w:tc>
          <w:tcPr>
            <w:tcW w:type="dxa" w:w="4608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ASUNTO</w:t>
            </w:r>
          </w:p>
        </w:tc>
        <w:tc>
          <w:tcPr>
            <w:tcW w:type="dxa" w:w="1584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ADJUNTOS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0"/>
              </w:rPr>
              <w:t>ETB-2025-0892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20"/>
              </w:rPr>
              <w:t>15/09/2025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SOLICITUD INFORMACIÓN ADICIONAL ANS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0"/>
              </w:rPr>
              <w:t>ETB-2025-0905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20"/>
              </w:rPr>
              <w:t>22/09/2025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APROBACIÓN CRONOGRAMA LIMPIEZA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0"/>
              </w:rPr>
              <w:t>Cronograma.pdf</w:t>
            </w:r>
          </w:p>
        </w:tc>
      </w:tr>
      <w:tr>
        <w:tc>
          <w:tcPr>
            <w:tcW w:type="dxa" w:w="1872"/>
          </w:tcPr>
          <w:p>
            <w:pPr>
              <w:jc w:val="left"/>
            </w:pPr>
            <w:r>
              <w:rPr>
                <w:sz w:val="20"/>
              </w:rPr>
              <w:t>SDSCJ-2025-1234</w:t>
            </w:r>
          </w:p>
        </w:tc>
        <w:tc>
          <w:tcPr>
            <w:tcW w:type="dxa" w:w="1296"/>
          </w:tcPr>
          <w:p>
            <w:pPr>
              <w:jc w:val="left"/>
            </w:pPr>
            <w:r>
              <w:rPr>
                <w:sz w:val="20"/>
              </w:rPr>
              <w:t>28/09/2025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rPr>
                <w:sz w:val="20"/>
              </w:rPr>
              <w:t>REQUERIMIENTO INFORME ESTADIO</w:t>
            </w:r>
          </w:p>
        </w:tc>
        <w:tc>
          <w:tcPr>
            <w:tcW w:type="dxa" w:w="1584"/>
          </w:tcPr>
          <w:p>
            <w:pPr>
              <w:jc w:val="left"/>
            </w:pPr>
            <w:r>
              <w:rPr>
                <w:sz w:val="20"/>
              </w:rPr>
              <w:t>-</w:t>
            </w:r>
          </w:p>
        </w:tc>
      </w:tr>
    </w:tbl>
    <w:p/>
    <w:p>
      <w:pPr>
        <w:pStyle w:val="Heading2"/>
      </w:pPr>
      <w:r>
        <w:t>1.7. PERSONAL MÍNIMO REQUERIDO</w:t>
      </w:r>
    </w:p>
    <w:p>
      <w:pPr>
        <w:spacing w:after="120"/>
        <w:jc w:val="both"/>
      </w:pPr>
      <w:r>
        <w:t>El contratista cuenta con el siguiente personal mínimo requerido para la ejecución del contrato: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CARGO</w:t>
            </w:r>
          </w:p>
        </w:tc>
        <w:tc>
          <w:tcPr>
            <w:tcW w:type="dxa" w:w="11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417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 ASIGNADO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rPr>
                <w:sz w:val="20"/>
              </w:rPr>
              <w:t>Director de Proyecto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0"/>
              </w:rPr>
              <w:t>Juan Carlos Pérez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rPr>
                <w:sz w:val="20"/>
              </w:rPr>
              <w:t>Coordinador Técnico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0"/>
              </w:rPr>
              <w:t>María García López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rPr>
                <w:sz w:val="20"/>
              </w:rPr>
              <w:t>Ingeniero de Soporte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0"/>
              </w:rPr>
              <w:t>Carlos Rodríguez, Ana Martínez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rPr>
                <w:sz w:val="20"/>
              </w:rPr>
              <w:t>Coordinador Mesa de Servicio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0"/>
              </w:rPr>
              <w:t>Pedro Sánchez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rPr>
                <w:sz w:val="20"/>
              </w:rPr>
              <w:t>Analista Mesa de Servicio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0"/>
              </w:rPr>
              <w:t>Luis Gómez, Diana Torres, Andrés Ruiz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rPr>
                <w:sz w:val="20"/>
              </w:rPr>
              <w:t>Técnico de Campo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0"/>
              </w:rPr>
              <w:t>Ver Anexo Personal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rPr>
                <w:sz w:val="20"/>
              </w:rPr>
              <w:t>Técnico Motorizado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0"/>
              </w:rPr>
              <w:t>Ver Anexo Personal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rPr>
                <w:sz w:val="20"/>
              </w:rPr>
              <w:t>Coordinador SST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0"/>
              </w:rPr>
              <w:t>Carolina Mendoza</w:t>
            </w:r>
          </w:p>
        </w:tc>
      </w:tr>
    </w:tbl>
    <w:p/>
    <w:p>
      <w:pPr>
        <w:pStyle w:val="Heading2"/>
      </w:pPr>
      <w:r>
        <w:t>1.8. PERSONAL DE APOYO</w:t>
      </w:r>
    </w:p>
    <w:p>
      <w:pPr>
        <w:spacing w:after="120"/>
        <w:jc w:val="both"/>
      </w:pPr>
      <w:r>
        <w:t>Adicionalmente, el contratista cuenta con el siguiente personal de apoyo: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CARGO</w:t>
            </w:r>
          </w:p>
        </w:tc>
        <w:tc>
          <w:tcPr>
            <w:tcW w:type="dxa" w:w="1152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4176"/>
            <w:shd w:fill="1F4E79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 ASIGNADO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rPr>
                <w:sz w:val="20"/>
              </w:rPr>
              <w:t>Técnico de Laboratorio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0"/>
              </w:rPr>
              <w:t>Roberto Díaz, Camila Vargas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rPr>
                <w:sz w:val="20"/>
              </w:rPr>
              <w:t>Auxiliar de Almacén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0"/>
              </w:rPr>
              <w:t>Felipe Moreno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rPr>
                <w:sz w:val="20"/>
              </w:rPr>
              <w:t>Auxiliar Administrativo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0"/>
              </w:rPr>
              <w:t>Laura Jiménez</w:t>
            </w:r>
          </w:p>
        </w:tc>
      </w:tr>
      <w:tr>
        <w:tc>
          <w:tcPr>
            <w:tcW w:type="dxa" w:w="4032"/>
          </w:tcPr>
          <w:p>
            <w:pPr>
              <w:jc w:val="left"/>
            </w:pPr>
            <w:r>
              <w:rPr>
                <w:sz w:val="20"/>
              </w:rPr>
              <w:t>Auxiliar Documental</w:t>
            </w:r>
          </w:p>
        </w:tc>
        <w:tc>
          <w:tcPr>
            <w:tcW w:type="dxa" w:w="1152"/>
          </w:tcPr>
          <w:p>
            <w:pPr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type="dxa" w:w="4176"/>
          </w:tcPr>
          <w:p>
            <w:pPr>
              <w:jc w:val="left"/>
            </w:pPr>
            <w:r>
              <w:rPr>
                <w:sz w:val="20"/>
              </w:rPr>
              <w:t>Natalia Castro</w:t>
            </w:r>
          </w:p>
        </w:tc>
      </w:tr>
    </w:tbl>
    <w:p/>
    <w:p/>
    <w:p>
      <w:pPr>
        <w:jc w:val="center"/>
      </w:pPr>
      <w:r>
        <w:t>════════════════════════════════════════════════════════════</w:t>
      </w:r>
    </w:p>
    <w:p>
      <w:pPr>
        <w:jc w:val="center"/>
      </w:pPr>
      <w:r>
        <w:rPr>
          <w:i/>
          <w:color w:val="808080"/>
        </w:rPr>
        <w:t>Fin Sección 1 - Información General del Contrato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