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Pregunta: Si la base de datos es adulterada de manera externa, a nivel nacional, describir qué instrumento legal respalda a ARGBroker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Ley 25.326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Artículo 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Inciso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1°. Será reprimido con la pena de prisión de un mes a dos años el que insertara o hiciera insertar a sabiendas datos falsos en un archivo de datos personales.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Inciso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1°. A sabiendas e ilegítimamente, o violando sistemas de confidencialidad y seguridad de datos, accediere, de cualquier forma, a un banco de datos personales;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2°. Revelare a otro información registrada en un banco de datos personales cuyo secreto estuviere obligado a preservar por disposición de una ley.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Cuando el autor sea funcionario público sufrirá, además, pena de inhabilitación especial de uno a cuatro años".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Ley 26388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Artículo 8, 10, 12 y 13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Pregunta: Si los datos de la base de datos son adulterados de manera externa, a nivel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internacional, describir qué instrumento legal respalda a ARGBroker.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CONVENIO INTERNACIONAL SOBRE CIBERDELINCUENCIA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Capitulo II - Medidas que deberan adoptarse a nivel nacional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Seccion 1 - Derecho penal sustantivo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Articulo 2 - Acceso Ilícito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Articulo 3 - Interceptacion ilícita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Articulo 4 - Ataques a la integridad de los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Articulo 5 - Ataques a la integridad del sistema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Articulo 6 - Abuso de los dispositivos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Articulo 7 - Falsificacion informatica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Articulo 8 - Fraude informatico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Articulo 13 - Sanciones y medidas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Capitulo II - Cooperacion Internacional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Seccion 1 - Principios generales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Articulo 23 - Principios generales relativos a la cooperacion internacional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Articulo 25 - Principios generales relativos a la asistencia mutua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Articulo 27 - Procedimientos relativos a las solicitudes de asistencia mutua en ausencia de acuerdos internacionales aplicables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Pregunta: Cuando los programadores de ARGBroker incurren en una negligencia, a que instrumento legal se acude y quien.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 debe acudir al Consejo Profesional de Ciencias Informaticas de la Provincia de Cordoba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instrumento legal, se debe recurrir al Estatuto de la Ley 7642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Otro instrumento legal al cual se puede recurrir en caso de incurrir en una negligencia, es la Ley 26388 en sus articulos 9 y 13.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