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MARCATTA Catálogo conceitual de produtos</w:t>
      </w:r>
    </w:p>
    <w:p>
      <w:r>
        <w:t>Versão 2.0  |  25 de setembro de 2026  |  Arquitetura de navegação e prospecção</w:t>
      </w:r>
    </w:p>
    <w:p>
      <w:r>
        <w:t>Este catálogo organiza as sete categorias definidas pela fundadora e incorpora complementos coerentes com gráfica e brindes corporativos. Os nomes são conceitos de oferta, não produtos homologados: material, formato, técnica, tiragem, custo, prazo e disponibilidade dependem de ficha, cotação e amostra. A nomenclatura comercial poderá ser ajustada antes da publicação.</w:t>
      </w:r>
    </w:p>
    <w:p>
      <w:pPr>
        <w:pStyle w:val="Heading1"/>
      </w:pPr>
      <w:r>
        <w:t>Categorias e famílias de produtos</w:t>
      </w:r>
    </w:p>
    <w:p>
      <w:pPr>
        <w:pStyle w:val="Heading2"/>
      </w:pPr>
      <w:r>
        <w:t>1 Unboxing e embalagem</w:t>
      </w:r>
    </w:p>
    <w:p>
      <w:pPr>
        <w:pStyle w:val="ListBullet"/>
      </w:pPr>
      <w:r>
        <w:rPr>
          <w:b/>
        </w:rPr>
        <w:t xml:space="preserve">Definidos pela fundadora: </w:t>
      </w:r>
      <w:r>
        <w:t>caixa e embalagem personalizada; cartão fidelidade; voucher; cartão de agradecimento.</w:t>
      </w:r>
    </w:p>
    <w:p>
      <w:pPr>
        <w:pStyle w:val="ListBullet"/>
      </w:pPr>
      <w:r>
        <w:rPr>
          <w:b/>
        </w:rPr>
        <w:t xml:space="preserve">Complementos propostos: </w:t>
      </w:r>
      <w:r>
        <w:t>sacola de papel; envelope de envio; papel de seda personalizado; cinta para embalagem; selo de fechamento; berço ou divisória para proteger e apresentar os itens.</w:t>
      </w:r>
    </w:p>
    <w:p>
      <w:r>
        <w:t>Venda sugerida: componentes avulsos ou projeto de experiência de envio com composição, resistência e dimensões testadas. Cartões são fabricados como família única em Cards e aparecem aqui por aplicação.</w:t>
      </w:r>
    </w:p>
    <w:p>
      <w:pPr>
        <w:pStyle w:val="Heading2"/>
      </w:pPr>
      <w:r>
        <w:t>2 Rótulos e adesivos</w:t>
      </w:r>
    </w:p>
    <w:p>
      <w:pPr>
        <w:pStyle w:val="ListBullet"/>
      </w:pPr>
      <w:r>
        <w:rPr>
          <w:b/>
        </w:rPr>
        <w:t xml:space="preserve">Definidos pela fundadora: </w:t>
      </w:r>
      <w:r>
        <w:t>adesivo redondo; rótulo para embalagem.</w:t>
      </w:r>
    </w:p>
    <w:p>
      <w:pPr>
        <w:pStyle w:val="ListBullet"/>
      </w:pPr>
      <w:r>
        <w:rPr>
          <w:b/>
        </w:rPr>
        <w:t xml:space="preserve">Complementos propostos: </w:t>
      </w:r>
      <w:r>
        <w:t>adesivo retangular e com corte especial; etiqueta de identificação; lacre adesivo; cartela de adesivos; rótulo para frasco ou pote.</w:t>
      </w:r>
    </w:p>
    <w:p>
      <w:r>
        <w:t>Especificar superfície, ambiente de uso, quantidade de informações, resistência necessária e aplicação. Texto obrigatório, lote, composição, validade e demais exigências regulatórias são responsabilidade a definir com o cliente conforme o produto rotulado; não oferecer conformidade legal automática.</w:t>
      </w:r>
    </w:p>
    <w:p>
      <w:pPr>
        <w:pStyle w:val="Heading2"/>
      </w:pPr>
      <w:r>
        <w:t>3 Brindes</w:t>
      </w:r>
    </w:p>
    <w:p>
      <w:pPr>
        <w:pStyle w:val="ListBullet"/>
      </w:pPr>
      <w:r>
        <w:rPr>
          <w:b/>
        </w:rPr>
        <w:t xml:space="preserve">Definidos pela fundadora: </w:t>
      </w:r>
      <w:r>
        <w:t>mouse pad; chaveiro; kit viagem; ecobag; copo para suco com canudo; garrafa térmica; kit churrasco; nécessaire.</w:t>
      </w:r>
    </w:p>
    <w:p>
      <w:pPr>
        <w:pStyle w:val="ListBullet"/>
      </w:pPr>
      <w:r>
        <w:rPr>
          <w:b/>
        </w:rPr>
        <w:t xml:space="preserve">Complementos propostos: </w:t>
      </w:r>
      <w:r>
        <w:t>caneca; copo térmico; porta cartão ou porta crachá; caderno e caneta personalizados como componentes de kit; kit de boas-vindas, reconhecimento ou evento sob composição aprovada.</w:t>
      </w:r>
    </w:p>
    <w:p>
      <w:r>
        <w:t>Kits viagem e churrasco são projetos de composição, não variantes prontas. Material, itens, marcação e acondicionamento serão definidos por proposta. Peças personalizadas por sublimação terão produção terceirizada e inspeção pela MARCATTA.</w:t>
      </w:r>
    </w:p>
    <w:p>
      <w:pPr>
        <w:pStyle w:val="Heading2"/>
      </w:pPr>
      <w:r>
        <w:t>4 Tags</w:t>
      </w:r>
    </w:p>
    <w:p>
      <w:pPr>
        <w:pStyle w:val="ListBullet"/>
      </w:pPr>
      <w:r>
        <w:rPr>
          <w:b/>
        </w:rPr>
        <w:t xml:space="preserve">Definidos pela fundadora: </w:t>
      </w:r>
      <w:r>
        <w:t>tag para roupas; tag para acessórios; tag com QR code.</w:t>
      </w:r>
    </w:p>
    <w:p>
      <w:pPr>
        <w:pStyle w:val="ListBullet"/>
      </w:pPr>
      <w:r>
        <w:rPr>
          <w:b/>
        </w:rPr>
        <w:t xml:space="preserve">Complementos propostos: </w:t>
      </w:r>
      <w:r>
        <w:t>tag de presente; tag de embalagem; tag de preço e identificação.</w:t>
      </w:r>
    </w:p>
    <w:p>
      <w:r>
        <w:t>O QR code requer URL final, teste de leitura no tamanho e suporte escolhidos e definição de quem mantém o destino digital. A tag pode usar uma família técnica comum; a finalidade gera aplicações distintas.</w:t>
      </w:r>
    </w:p>
    <w:p>
      <w:r>
        <w:br w:type="page"/>
      </w:r>
    </w:p>
    <w:p>
      <w:pPr>
        <w:pStyle w:val="Heading2"/>
      </w:pPr>
      <w:r>
        <w:t>5 Cards e cartões</w:t>
      </w:r>
    </w:p>
    <w:p>
      <w:pPr>
        <w:pStyle w:val="ListBullet"/>
      </w:pPr>
      <w:r>
        <w:rPr>
          <w:b/>
        </w:rPr>
        <w:t xml:space="preserve">Definidos pela fundadora: </w:t>
      </w:r>
      <w:r>
        <w:t>cartão de agradecimento; cartão de desconto; cartão de visita.</w:t>
      </w:r>
    </w:p>
    <w:p>
      <w:pPr>
        <w:pStyle w:val="ListBullet"/>
      </w:pPr>
      <w:r>
        <w:rPr>
          <w:b/>
        </w:rPr>
        <w:t xml:space="preserve">Complementos propostos: </w:t>
      </w:r>
      <w:r>
        <w:t>cartão fidelidade; voucher; cartão de mensagem para kits; cartão com QR code; cartão de indicação.</w:t>
      </w:r>
    </w:p>
    <w:p>
      <w:r>
        <w:t>A categoria reúne formatos impressos semelhantes. Desconto, fidelidade e voucher dependem de regras de uso, validade e identificação fornecidas ou aprovadas pelo cliente; não inserir mecânica promocional fictícia.</w:t>
      </w:r>
    </w:p>
    <w:p>
      <w:pPr>
        <w:pStyle w:val="Heading2"/>
      </w:pPr>
      <w:r>
        <w:t>6 Eventos</w:t>
      </w:r>
    </w:p>
    <w:p>
      <w:pPr>
        <w:pStyle w:val="ListBullet"/>
      </w:pPr>
      <w:r>
        <w:rPr>
          <w:b/>
        </w:rPr>
        <w:t xml:space="preserve">Definidos pela fundadora: </w:t>
      </w:r>
      <w:r>
        <w:t>convite; sinalização; totem; display.</w:t>
      </w:r>
    </w:p>
    <w:p>
      <w:pPr>
        <w:pStyle w:val="ListBullet"/>
      </w:pPr>
      <w:r>
        <w:rPr>
          <w:b/>
        </w:rPr>
        <w:t xml:space="preserve">Complementos propostos: </w:t>
      </w:r>
      <w:r>
        <w:t>crachá e credencial; banner; placa de mesa; folder ou programa; pasta de apresentação; backdrop ou painel para fotografia; adesivo de identificação de ambiente.</w:t>
      </w:r>
    </w:p>
    <w:p>
      <w:r>
        <w:t>Projeto sob briefing de local, medidas, instalação, retirada e data de uso. Totens, displays e estruturas dependem de gabarito, estabilidade, transporte e regras do espaço; serviços de instalação devem ser precificados separadamente quando aplicáveis.</w:t>
      </w:r>
    </w:p>
    <w:p>
      <w:pPr>
        <w:pStyle w:val="Heading2"/>
      </w:pPr>
      <w:r>
        <w:t>7 Papelaria empresarial</w:t>
      </w:r>
    </w:p>
    <w:p>
      <w:pPr>
        <w:pStyle w:val="ListBullet"/>
      </w:pPr>
      <w:r>
        <w:rPr>
          <w:b/>
        </w:rPr>
        <w:t xml:space="preserve">Definidos pela fundadora: </w:t>
      </w:r>
      <w:r>
        <w:t>caderno; caneta; bloco de anotações; receituário; prontuário; papel timbrado.</w:t>
      </w:r>
    </w:p>
    <w:p>
      <w:pPr>
        <w:pStyle w:val="ListBullet"/>
      </w:pPr>
      <w:r>
        <w:rPr>
          <w:b/>
        </w:rPr>
        <w:t xml:space="preserve">Complementos propostos: </w:t>
      </w:r>
      <w:r>
        <w:t>pasta institucional; envelope; agenda ou planner corporativo; calendário; ficha ou formulário interno; catálogo e apresentação impressa.</w:t>
      </w:r>
    </w:p>
    <w:p>
      <w:r>
        <w:t>Receituários e prontuários são, nesta fase, impressos em branco para clientes profissionais. O tipo de documento, campos obrigatórios, impressão de dados e regras setoriais exigem validação pelo contratante e revisão específica antes da venda. Não solicitar nem armazenar dados de pacientes para produzir uma peça genérica.</w:t>
      </w:r>
    </w:p>
    <w:p>
      <w:pPr>
        <w:pStyle w:val="Heading1"/>
      </w:pPr>
      <w:r>
        <w:t>Arquitetura para venda e gestão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07266F"/>
          </w:tcPr>
          <w:p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3331"/>
            <w:shd w:fill="07266F"/>
          </w:tcPr>
          <w:p>
            <w:r>
              <w:rPr>
                <w:b/>
                <w:color w:val="FFFFFF"/>
                <w:sz w:val="17"/>
              </w:rPr>
              <w:t>Decisão proposta</w:t>
            </w:r>
          </w:p>
        </w:tc>
        <w:tc>
          <w:tcPr>
            <w:tcW w:type="dxa" w:w="3331"/>
            <w:shd w:fill="07266F"/>
          </w:tcPr>
          <w:p>
            <w:r>
              <w:rPr>
                <w:b/>
                <w:color w:val="FFFFFF"/>
                <w:sz w:val="17"/>
              </w:rPr>
              <w:t>Exemplo</w:t>
            </w:r>
          </w:p>
        </w:tc>
      </w:tr>
      <w:tr>
        <w:tc>
          <w:tcPr>
            <w:tcW w:type="dxa" w:w="3331"/>
          </w:tcPr>
          <w:p>
            <w:r>
              <w:rPr>
                <w:sz w:val="17"/>
              </w:rPr>
              <w:t>Linha estratégica</w:t>
            </w:r>
          </w:p>
        </w:tc>
        <w:tc>
          <w:tcPr>
            <w:tcW w:type="dxa" w:w="3331"/>
          </w:tcPr>
          <w:p>
            <w:r>
              <w:rPr>
                <w:sz w:val="17"/>
              </w:rPr>
              <w:t>Mantêm-se as quatro linhas da Fase 03: kits corporativos; gráfica empresarial; brindes selecionados; embalagens e mensagens.</w:t>
            </w:r>
          </w:p>
        </w:tc>
        <w:tc>
          <w:tcPr>
            <w:tcW w:type="dxa" w:w="3331"/>
          </w:tcPr>
          <w:p>
            <w:r>
              <w:rPr>
                <w:sz w:val="17"/>
              </w:rPr>
              <w:t>A linha orienta custos e fornecedor.</w:t>
            </w:r>
          </w:p>
        </w:tc>
      </w:tr>
      <w:tr>
        <w:tc>
          <w:tcPr>
            <w:tcW w:type="dxa" w:w="3331"/>
          </w:tcPr>
          <w:p>
            <w:r>
              <w:rPr>
                <w:sz w:val="17"/>
              </w:rPr>
              <w:t>Categoria comercial</w:t>
            </w:r>
          </w:p>
        </w:tc>
        <w:tc>
          <w:tcPr>
            <w:tcW w:type="dxa" w:w="3331"/>
          </w:tcPr>
          <w:p>
            <w:r>
              <w:rPr>
                <w:sz w:val="17"/>
              </w:rPr>
              <w:t>As sete categorias desta versão organizam busca, portfólio e abordagem comercial; não exigem novo SKU para cada uso.</w:t>
            </w:r>
          </w:p>
        </w:tc>
        <w:tc>
          <w:tcPr>
            <w:tcW w:type="dxa" w:w="3331"/>
          </w:tcPr>
          <w:p>
            <w:r>
              <w:rPr>
                <w:sz w:val="17"/>
              </w:rPr>
              <w:t>Cards contém cartão de agradecimento; Unboxing o apresenta em contexto.</w:t>
            </w:r>
          </w:p>
        </w:tc>
      </w:tr>
      <w:tr>
        <w:tc>
          <w:tcPr>
            <w:tcW w:type="dxa" w:w="3331"/>
          </w:tcPr>
          <w:p>
            <w:r>
              <w:rPr>
                <w:sz w:val="17"/>
              </w:rPr>
              <w:t>Família e variante</w:t>
            </w:r>
          </w:p>
        </w:tc>
        <w:tc>
          <w:tcPr>
            <w:tcW w:type="dxa" w:w="3331"/>
          </w:tcPr>
          <w:p>
            <w:r>
              <w:rPr>
                <w:sz w:val="17"/>
              </w:rPr>
              <w:t>Uma família agrupa técnicas semelhantes; variante fixa material, formato, personalização, acabamento e fornecedor.</w:t>
            </w:r>
          </w:p>
        </w:tc>
        <w:tc>
          <w:tcPr>
            <w:tcW w:type="dxa" w:w="3331"/>
          </w:tcPr>
          <w:p>
            <w:r>
              <w:rPr>
                <w:sz w:val="17"/>
              </w:rPr>
              <w:t>Adesivo redondo é aplicação; cada material e dimensão aprovados formam uma variante.</w:t>
            </w:r>
          </w:p>
        </w:tc>
      </w:tr>
      <w:tr>
        <w:tc>
          <w:tcPr>
            <w:tcW w:type="dxa" w:w="3331"/>
          </w:tcPr>
          <w:p>
            <w:r>
              <w:rPr>
                <w:sz w:val="17"/>
              </w:rPr>
              <w:t>Kit</w:t>
            </w:r>
          </w:p>
        </w:tc>
        <w:tc>
          <w:tcPr>
            <w:tcW w:type="dxa" w:w="3331"/>
          </w:tcPr>
          <w:p>
            <w:r>
              <w:rPr>
                <w:sz w:val="17"/>
              </w:rPr>
              <w:t>Projeto sob briefing, composição e lista de materiais versionada.</w:t>
            </w:r>
          </w:p>
        </w:tc>
        <w:tc>
          <w:tcPr>
            <w:tcW w:type="dxa" w:w="3331"/>
          </w:tcPr>
          <w:p>
            <w:r>
              <w:rPr>
                <w:sz w:val="17"/>
              </w:rPr>
              <w:t>Kit viagem com itens e embalagem confirmados por proposta.</w:t>
            </w:r>
          </w:p>
        </w:tc>
      </w:tr>
    </w:tbl>
    <w:p>
      <w:pPr>
        <w:pStyle w:val="Heading2"/>
      </w:pPr>
      <w:r>
        <w:t>Conciliação com a Fase 03</w:t>
      </w:r>
    </w:p>
    <w:p>
      <w:r>
        <w:t>Os 18 SKUs mestres da V1.0 continuam conceituais e seus códigos não foram alterados neste documento. Caixa, cartão mensagem, adesivo/etiqueta, tag, cartão de visita, pasta, folder, crachá, catálogo, garrafa térmica, copo térmico, caneca, caderno, caneta e ecobag já têm correspondências gerais. Itens aqui acrescentados ainda não receberam códigos. Copo para suco com canudo não deve ser confundido automaticamente com o SKU conceitual de copo térmico.</w:t>
      </w:r>
    </w:p>
    <w:p>
      <w:pPr>
        <w:pStyle w:val="Heading1"/>
      </w:pPr>
      <w:r>
        <w:t>Ordem recomendada de validação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07266F"/>
          </w:tcPr>
          <w:p>
            <w:r>
              <w:rPr>
                <w:b/>
                <w:color w:val="FFFFFF"/>
                <w:sz w:val="17"/>
              </w:rPr>
              <w:t>Rodada</w:t>
            </w:r>
          </w:p>
        </w:tc>
        <w:tc>
          <w:tcPr>
            <w:tcW w:type="dxa" w:w="3331"/>
            <w:shd w:fill="07266F"/>
          </w:tcPr>
          <w:p>
            <w:r>
              <w:rPr>
                <w:b/>
                <w:color w:val="FFFFFF"/>
                <w:sz w:val="17"/>
              </w:rPr>
              <w:t>Famílias para testar</w:t>
            </w:r>
          </w:p>
        </w:tc>
        <w:tc>
          <w:tcPr>
            <w:tcW w:type="dxa" w:w="3331"/>
            <w:shd w:fill="07266F"/>
          </w:tcPr>
          <w:p>
            <w:r>
              <w:rPr>
                <w:b/>
                <w:color w:val="FFFFFF"/>
                <w:sz w:val="17"/>
              </w:rPr>
              <w:t>Evidência para liberar</w:t>
            </w:r>
          </w:p>
        </w:tc>
      </w:tr>
      <w:tr>
        <w:tc>
          <w:tcPr>
            <w:tcW w:type="dxa" w:w="333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31"/>
          </w:tcPr>
          <w:p>
            <w:r>
              <w:rPr>
                <w:sz w:val="17"/>
              </w:rPr>
              <w:t>Caixa, cartões, adesivos/rótulos e tags; impressos recorrentes de papelaria.</w:t>
            </w:r>
          </w:p>
        </w:tc>
        <w:tc>
          <w:tcPr>
            <w:tcW w:type="dxa" w:w="3331"/>
          </w:tcPr>
          <w:p>
            <w:r>
              <w:rPr>
                <w:sz w:val="17"/>
              </w:rPr>
              <w:t>Fornecedor e alternativa, gabarito, amostra, preço integral, MOQ, prazo e inspeção.</w:t>
            </w:r>
          </w:p>
        </w:tc>
      </w:tr>
      <w:tr>
        <w:tc>
          <w:tcPr>
            <w:tcW w:type="dxa" w:w="3331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31"/>
          </w:tcPr>
          <w:p>
            <w:r>
              <w:rPr>
                <w:sz w:val="17"/>
              </w:rPr>
              <w:t>Brindes de alta compatibilidade com kits: garrafa, ecobag, caderno, caneta, nécessaire e copos.</w:t>
            </w:r>
          </w:p>
        </w:tc>
        <w:tc>
          <w:tcPr>
            <w:tcW w:type="dxa" w:w="3331"/>
          </w:tcPr>
          <w:p>
            <w:r>
              <w:rPr>
                <w:sz w:val="17"/>
              </w:rPr>
              <w:t>Amostra da técnica na superfície, embalagem, perdas e logística.</w:t>
            </w:r>
          </w:p>
        </w:tc>
      </w:tr>
      <w:tr>
        <w:tc>
          <w:tcPr>
            <w:tcW w:type="dxa" w:w="3331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31"/>
          </w:tcPr>
          <w:p>
            <w:r>
              <w:rPr>
                <w:sz w:val="17"/>
              </w:rPr>
              <w:t>Kits viagem e churrasco; totem, display e sinalização especial.</w:t>
            </w:r>
          </w:p>
        </w:tc>
        <w:tc>
          <w:tcPr>
            <w:tcW w:type="dxa" w:w="3331"/>
          </w:tcPr>
          <w:p>
            <w:r>
              <w:rPr>
                <w:sz w:val="17"/>
              </w:rPr>
              <w:t>Composição ou engenharia definida, montagem, transporte e instalação sob projeto.</w:t>
            </w:r>
          </w:p>
        </w:tc>
      </w:tr>
    </w:tbl>
    <w:p>
      <w:r>
        <w:t>Essa ordem é uma hipótese de trabalho baseada em simplicidade de especificação e conexão entre categorias; não indica demanda ou margem comprovadas. Cada item passa por Conceito → Cotado → Amostrado → Homologado → Publicado. Não publicar oferta com custo, prazo, capacidade ou prova pendente.</w:t>
      </w:r>
    </w:p>
    <w:p>
      <w:pPr>
        <w:pStyle w:val="Heading1"/>
      </w:pPr>
      <w:r>
        <w:t>Campos mínimos da ficha antes de anunciar</w:t>
      </w:r>
    </w:p>
    <w:p>
      <w:r>
        <w:t>Família; linha; categoria comercial; público e ocasião; material; medidas ou capacidade; técnica e fornecedor principal/alternativo; arte e gabarito; prova e amostra; MOQ e quantidade; embalagem; controle de qualidade; prazo por destino; custo integral; tributos e taxas do canal; preço e contribuição aprovados; responsável; data da cotação; estado da variante. Para kits, anexar lista de materiais, substitutos autorizados e instrução de montagem.</w:t>
      </w:r>
    </w:p>
    <w:p>
      <w:r>
        <w:t>Fontes internas: MARCATTA Fase 03 Produto V1.0 e MARCATTA Fase 03 Catálogo e Precificação V1.0, ambos de 24/09/2026. Referências públicas de categorias: printi.com.br/produtos, printi.com.br/adesivos-rotulos-etiquetas, printi.com.br/papelaria-personalizada; consultadas em 25/09/2026. As sugestões de inclusão são hipóteses de portfólio da MARCATTA, não produtos já disponíveis.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5E6E"/>
      </w:rPr>
      <w:t>MARCATTA  |  Gráfica e Brindes  •  25.09.2026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