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Gabrielle Souza</w:t>
      </w:r>
    </w:p>
    <w:p>
      <w:pPr>
        <w:pStyle w:val="Heading1"/>
      </w:pPr>
      <w:r>
        <w:t>Asaas</w:t>
      </w:r>
    </w:p>
    <w:p>
      <w:r>
        <w:t>Parcelas Pagas: 2</w:t>
      </w:r>
    </w:p>
    <w:p>
      <w:r>
        <w:t>Parcelas Pendentes: 0</w:t>
      </w:r>
    </w:p>
    <w:p>
      <w:r>
        <w:t>Total Pago: R$ 6954.00</w:t>
      </w:r>
    </w:p>
    <w:p>
      <w:r>
        <w:t>Total a Pagar: R$ 0.00</w:t>
      </w:r>
    </w:p>
    <w:p>
      <w:r>
        <w:t>• 2025-09-20: R$ 3477 - RECEIVED (NEON Parcela 02 de 06.)</w:t>
      </w:r>
    </w:p>
    <w:p>
      <w:r>
        <w:t>• 2025-08-12: R$ 3477 - RECEIVED (NEON Parcela 01 de 06.)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