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Xf92871729c5d3c5b090112385599be115485f96"/>
    <w:p>
      <w:pPr>
        <w:pStyle w:val="Heading1"/>
      </w:pPr>
      <w:r>
        <w:t xml:space="preserve">Guia de Gestão Financeira para Clínicas de Estética</w:t>
      </w:r>
    </w:p>
    <w:bookmarkStart w:id="21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Gerenciar o fluxo de caixa de clínicas de estética exige um equilíbrio entre controle operacional, visão estratégica e adequação às normativas legais do Brasil. Ao criar um modelo de GPT específico para apoiar profissionais de estética avançada, é fundamental integrar técnicas comprovadas de gestão financeira, rotinas de controle e métricas (KPIs) importantes. Este documento apresenta um estudo detalhado, baseado em fontes oficiais e práticas de mercado, que servirá como base para instruções ao GPT.</w:t>
      </w:r>
    </w:p>
    <w:bookmarkEnd w:id="21"/>
    <w:bookmarkStart w:id="27" w:name="referenciais-jurídicos-e-regulamentares"/>
    <w:p>
      <w:pPr>
        <w:pStyle w:val="Heading2"/>
      </w:pPr>
      <w:r>
        <w:t xml:space="preserve">Referenciais Jurídicos e Regulamentares</w:t>
      </w:r>
    </w:p>
    <w:bookmarkStart w:id="22" w:name="classificação-de-fluxos-dfc"/>
    <w:p>
      <w:pPr>
        <w:pStyle w:val="Heading3"/>
      </w:pPr>
      <w:r>
        <w:t xml:space="preserve">1. Classificação de Fluxos (DFC)</w:t>
      </w:r>
    </w:p>
    <w:p>
      <w:pPr>
        <w:pStyle w:val="FirstParagraph"/>
      </w:pPr>
      <w:r>
        <w:t xml:space="preserve">A NBC TG 03 (que incorpora a IAS 7) estabelece a estrutura da Demonstração dos Fluxos de Caixa, que deve separar fluxos</w:t>
      </w:r>
      <w:r>
        <w:t xml:space="preserve"> </w:t>
      </w:r>
      <w:r>
        <w:rPr>
          <w:b/>
          <w:bCs/>
        </w:rPr>
        <w:t xml:space="preserve">operacionais</w:t>
      </w:r>
      <w:r>
        <w:t xml:space="preserve">,</w:t>
      </w:r>
      <w:r>
        <w:t xml:space="preserve"> </w:t>
      </w:r>
      <w:r>
        <w:rPr>
          <w:b/>
          <w:bCs/>
        </w:rPr>
        <w:t xml:space="preserve">de investimento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 financiamento</w:t>
      </w:r>
      <w:r>
        <w:t xml:space="preserve">. Para clínicas de estética, recomenda-se o uso do</w:t>
      </w:r>
      <w:r>
        <w:t xml:space="preserve"> </w:t>
      </w:r>
      <w:r>
        <w:rPr>
          <w:b/>
          <w:bCs/>
        </w:rPr>
        <w:t xml:space="preserve">método direto</w:t>
      </w:r>
      <w:r>
        <w:t xml:space="preserve">, pois ele detalha claramente as entradas e saídas, essencial para o controle diário do caixa【0†L7-L15】. O método indireto é utilizado para conciliar as variações do caixa com o lucro contábil.</w:t>
      </w:r>
    </w:p>
    <w:bookmarkEnd w:id="22"/>
    <w:bookmarkStart w:id="23" w:name="meios-de-pagamento-e-prazos-no-brasil"/>
    <w:p>
      <w:pPr>
        <w:pStyle w:val="Heading3"/>
      </w:pPr>
      <w:r>
        <w:t xml:space="preserve">2. Meios de Pagamento e Prazos no Brasil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Pix</w:t>
      </w:r>
      <w:r>
        <w:t xml:space="preserve">: liquidação imediata, com taxa definida pela instituição (quando cobrada), sem interferência do Banco Central【0†L7-L10】.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Boleto</w:t>
      </w:r>
      <w:r>
        <w:t xml:space="preserve">: modernização permite liquidação</w:t>
      </w:r>
      <w:r>
        <w:t xml:space="preserve"> </w:t>
      </w:r>
      <w:r>
        <w:rPr>
          <w:b/>
          <w:bCs/>
        </w:rPr>
        <w:t xml:space="preserve">D+0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D+1</w:t>
      </w:r>
      <w:r>
        <w:t xml:space="preserve"> </w:t>
      </w:r>
      <w:r>
        <w:t xml:space="preserve">dependendo do banco【4†L1-L2】.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Cartão de débito e pré-pago</w:t>
      </w:r>
      <w:r>
        <w:t xml:space="preserve">: o Banco Central limitou a tarifa de intercâmbio em</w:t>
      </w:r>
      <w:r>
        <w:t xml:space="preserve"> </w:t>
      </w:r>
      <w:r>
        <w:rPr>
          <w:b/>
          <w:bCs/>
        </w:rPr>
        <w:t xml:space="preserve">0,5%</w:t>
      </w:r>
      <w:r>
        <w:t xml:space="preserve"> </w:t>
      </w:r>
      <w:r>
        <w:t xml:space="preserve">para débito e</w:t>
      </w:r>
      <w:r>
        <w:t xml:space="preserve"> </w:t>
      </w:r>
      <w:r>
        <w:rPr>
          <w:b/>
          <w:bCs/>
        </w:rPr>
        <w:t xml:space="preserve">0,7%</w:t>
      </w:r>
      <w:r>
        <w:t xml:space="preserve"> </w:t>
      </w:r>
      <w:r>
        <w:t xml:space="preserve">para cartões pré-pagos【7†L1-L7】.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Cartão de crédito</w:t>
      </w:r>
      <w:r>
        <w:t xml:space="preserve">: repasse ao lojista costuma ocorrer em</w:t>
      </w:r>
      <w:r>
        <w:t xml:space="preserve"> </w:t>
      </w:r>
      <w:r>
        <w:rPr>
          <w:b/>
          <w:bCs/>
        </w:rPr>
        <w:t xml:space="preserve">D+30</w:t>
      </w:r>
      <w:r>
        <w:t xml:space="preserve">, com opção de antecipação via registradoras (custos variáveis)【4†L1-L5】.</w:t>
      </w:r>
    </w:p>
    <w:bookmarkEnd w:id="23"/>
    <w:bookmarkStart w:id="24" w:name="obrigações-trabalhistas"/>
    <w:p>
      <w:pPr>
        <w:pStyle w:val="Heading3"/>
      </w:pPr>
      <w:r>
        <w:t xml:space="preserve">3. Obrigações Trabalhistas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FGTS Digital</w:t>
      </w:r>
      <w:r>
        <w:t xml:space="preserve">: recolhimento até o dia 20 do mês seguinte【0†L3-L6】.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13º salário</w:t>
      </w:r>
      <w:r>
        <w:t xml:space="preserve">: pagamento da primeira parcela entre 1º de fevereiro e 30 de novembro e a segunda parcela até 20 de dezembro【6†L1-L6】.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Férias</w:t>
      </w:r>
      <w:r>
        <w:t xml:space="preserve">: remuneração acrescida de um terço constitucional (art. 7º, XVII da CF)【6†L7-L8】.</w:t>
      </w:r>
      <w:r>
        <w:t xml:space="preserve"> </w:t>
      </w:r>
      <w:r>
        <w:t xml:space="preserve">Provisionar mensalmente esses encargos evita surpresas de caixa.</w:t>
      </w:r>
    </w:p>
    <w:bookmarkEnd w:id="24"/>
    <w:bookmarkStart w:id="25" w:name="tributos"/>
    <w:p>
      <w:pPr>
        <w:pStyle w:val="Heading3"/>
      </w:pPr>
      <w:r>
        <w:t xml:space="preserve">4. Tributos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</w:t>
      </w:r>
      <w:r>
        <w:t xml:space="preserve">: imposto municipal que pode chegar até 5% do faturamento, conforme a Lei Complementar 116/2003【2†L1-L6】. O GPT deve solicitar a alíquota local, já que varia por município.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Regime tributário</w:t>
      </w:r>
      <w:r>
        <w:t xml:space="preserve">: clínicas podem estar no Simples Nacional (diferentes anexos), Lucro Presumido ou Lucro Real. O modelo deve perguntar o</w:t>
      </w:r>
      <w:r>
        <w:t xml:space="preserve"> </w:t>
      </w:r>
      <w:r>
        <w:rPr>
          <w:b/>
          <w:bCs/>
        </w:rPr>
        <w:t xml:space="preserve">CNAE</w:t>
      </w:r>
      <w:r>
        <w:t xml:space="preserve"> </w:t>
      </w:r>
      <w:r>
        <w:t xml:space="preserve">e o regime para calcular impostos adequados【2†L1-L6】【2†L7-L13】.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PIS/COFINS</w:t>
      </w:r>
      <w:r>
        <w:t xml:space="preserve">: alíquotas variam conforme o regime (cumulativo ou não cumulativo)【2†L13-L16】.</w:t>
      </w:r>
    </w:p>
    <w:bookmarkEnd w:id="25"/>
    <w:bookmarkStart w:id="26" w:name="armazenagem-de-insumos-termossensíveis"/>
    <w:p>
      <w:pPr>
        <w:pStyle w:val="Heading3"/>
      </w:pPr>
      <w:r>
        <w:t xml:space="preserve">5. Armazenagem de Insumos Termossensíveis</w:t>
      </w:r>
    </w:p>
    <w:p>
      <w:pPr>
        <w:pStyle w:val="FirstParagraph"/>
      </w:pPr>
      <w:r>
        <w:t xml:space="preserve">RDCs 304/2019 e 430/2020 definem boas práticas de distribuição, armazenamento e transporte de medicamentos. Para toxina botulínica e diluentes, deve-se manter temperatura controlada (2–8 °C) e registrar dados para rastreabilidade【3†L1-L9】.</w:t>
      </w:r>
    </w:p>
    <w:bookmarkEnd w:id="26"/>
    <w:bookmarkEnd w:id="27"/>
    <w:bookmarkStart w:id="28" w:name="ciclo-de-caixa-e-capital-de-giro"/>
    <w:p>
      <w:pPr>
        <w:pStyle w:val="Heading2"/>
      </w:pPr>
      <w:r>
        <w:t xml:space="preserve">Ciclo de Caixa e Capital de Giro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Ciclo de Conversão de Caixa (CCC)</w:t>
      </w:r>
      <w:r>
        <w:t xml:space="preserve"> </w:t>
      </w:r>
      <w:r>
        <w:t xml:space="preserve">mede o tempo necessário para a clínica recuperar em caixa o valor investido em serviços. É calculado como:</w:t>
      </w:r>
    </w:p>
    <w:p>
      <w:pPr>
        <w:pStyle w:val="BlockText"/>
      </w:pPr>
      <w:r>
        <w:rPr>
          <w:b/>
          <w:bCs/>
        </w:rPr>
        <w:t xml:space="preserve">CCC = DIO + DSO − DPO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DIO (Dias de Estoque)</w:t>
      </w:r>
      <w:r>
        <w:t xml:space="preserve">: número médio de dias que insumos permanecem no estoque antes de serem consumidos.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DSO (Dias de Contas a Receber)</w:t>
      </w:r>
      <w:r>
        <w:t xml:space="preserve">: tempo médio para receber pagamentos de clientes, influenciado por parcelamentos e atraso no crédito.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DPO (Dias de Contas a Pagar)</w:t>
      </w:r>
      <w:r>
        <w:t xml:space="preserve">: prazo médio negociado com fornecedores. Aumentar DPO reduz a necessidade de capital de giro【5†L1-L9】.</w:t>
      </w:r>
    </w:p>
    <w:p>
      <w:pPr>
        <w:pStyle w:val="FirstParagraph"/>
      </w:pPr>
      <w:r>
        <w:rPr>
          <w:b/>
          <w:bCs/>
        </w:rPr>
        <w:t xml:space="preserve">Necessidade de Capital de Giro (NCG)</w:t>
      </w:r>
      <w:r>
        <w:t xml:space="preserve"> </w:t>
      </w:r>
      <w:r>
        <w:t xml:space="preserve">– método de balanço:</w:t>
      </w:r>
    </w:p>
    <w:p>
      <w:pPr>
        <w:pStyle w:val="BlockText"/>
      </w:pPr>
      <w:r>
        <w:rPr>
          <w:b/>
          <w:bCs/>
        </w:rPr>
        <w:t xml:space="preserve">NCG = (Estoques + Contas a Receber) − Contas a Pagar</w:t>
      </w:r>
      <w:r>
        <w:t xml:space="preserve">【5†L1-L9】</w:t>
      </w:r>
    </w:p>
    <w:p>
      <w:pPr>
        <w:pStyle w:val="FirstParagraph"/>
      </w:pPr>
      <w:r>
        <w:t xml:space="preserve">Para estimativas rápidas, calcula-se a</w:t>
      </w:r>
      <w:r>
        <w:t xml:space="preserve"> </w:t>
      </w:r>
      <w:r>
        <w:rPr>
          <w:b/>
          <w:bCs/>
        </w:rPr>
        <w:t xml:space="preserve">necessidade líquida</w:t>
      </w:r>
      <w:r>
        <w:t xml:space="preserve"> </w:t>
      </w:r>
      <w:r>
        <w:t xml:space="preserve">como:</w:t>
      </w:r>
    </w:p>
    <w:p>
      <w:pPr>
        <w:pStyle w:val="BlockText"/>
      </w:pPr>
      <w:r>
        <w:rPr>
          <w:b/>
          <w:bCs/>
        </w:rPr>
        <w:t xml:space="preserve">NLCG = Custo diário total × Ciclo financeiro</w:t>
      </w:r>
      <w:r>
        <w:t xml:space="preserve">【5†L10-L13】</w:t>
      </w:r>
    </w:p>
    <w:p>
      <w:pPr>
        <w:pStyle w:val="FirstParagraph"/>
      </w:pPr>
      <w:r>
        <w:t xml:space="preserve">Estes indicadores ajudam a estimar o volume de recursos que a clínica deve manter para sustentar suas operações.</w:t>
      </w:r>
    </w:p>
    <w:bookmarkEnd w:id="28"/>
    <w:bookmarkStart w:id="31" w:name="Xf80e8ff68e03101fe1687cde23a2634a7130710"/>
    <w:p>
      <w:pPr>
        <w:pStyle w:val="Heading2"/>
      </w:pPr>
      <w:r>
        <w:t xml:space="preserve">KPIs Essenciais para Clínicas de Estética</w:t>
      </w:r>
    </w:p>
    <w:bookmarkStart w:id="29" w:name="operacionais"/>
    <w:p>
      <w:pPr>
        <w:pStyle w:val="Heading3"/>
      </w:pPr>
      <w:r>
        <w:t xml:space="preserve">Operacionais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Taxa de não comparecimento (no-show)</w:t>
      </w:r>
      <w:r>
        <w:t xml:space="preserve">: percentual de consultas agendadas em que o paciente não comparece. Referências da MGMA apontam taxas aceitáveis entre 5–7%【1†L1-L8】. A clínica deve adotar política de sinal e lembretes para reduzir esse indicador.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Third-Next-Available (TNA)</w:t>
      </w:r>
      <w:r>
        <w:t xml:space="preserve">: tempo até a terceira próxima consulta disponível, um indicador de acessibilidade utilizado pelo IHI【1†L9-L12】.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Produtividade do profissional</w:t>
      </w:r>
      <w:r>
        <w:t xml:space="preserve">: atendimentos por dia e receita/hora disponível (RevPAH).</w:t>
      </w:r>
    </w:p>
    <w:bookmarkEnd w:id="29"/>
    <w:bookmarkStart w:id="30" w:name="comerciais-e-financeiros"/>
    <w:p>
      <w:pPr>
        <w:pStyle w:val="Heading3"/>
      </w:pPr>
      <w:r>
        <w:t xml:space="preserve">Comerciais e Financeiros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Ticket médio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lifetime value (LTV)</w:t>
      </w:r>
      <w:r>
        <w:t xml:space="preserve"> </w:t>
      </w:r>
      <w:r>
        <w:t xml:space="preserve">do cliente.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Margem bruta por procedimento</w:t>
      </w:r>
      <w:r>
        <w:t xml:space="preserve"> </w:t>
      </w:r>
      <w:r>
        <w:t xml:space="preserve">(deduzindo insumos, comissões e MDR).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Margem EBITDA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runway</w:t>
      </w:r>
      <w:r>
        <w:t xml:space="preserve"> </w:t>
      </w:r>
      <w:r>
        <w:t xml:space="preserve">para clínicas em expansão.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KPI de capital de giro</w:t>
      </w:r>
      <w:r>
        <w:t xml:space="preserve">: CCC e NCG.</w:t>
      </w:r>
    </w:p>
    <w:bookmarkEnd w:id="30"/>
    <w:bookmarkEnd w:id="31"/>
    <w:bookmarkStart w:id="32" w:name="X7e29d6eb75cd4aede9ae910a7a7512586d5b1e5"/>
    <w:p>
      <w:pPr>
        <w:pStyle w:val="Heading2"/>
      </w:pPr>
      <w:r>
        <w:t xml:space="preserve">Boas Práticas de Gestão do Fluxo de Caixa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Controle diário de caixa</w:t>
      </w:r>
      <w:r>
        <w:t xml:space="preserve">: registrar entradas e saídas em planilhas ou software, categorizando conforme a DFC. O relatório deve incluir saldo inicial, entradas por canal (Pix, boleto, débito, crédito), saídas fixas e variáveis, provisões trabalhistas e saldo final.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Mix de meios de pagamento</w:t>
      </w:r>
      <w:r>
        <w:t xml:space="preserve">: priorizar</w:t>
      </w:r>
      <w:r>
        <w:t xml:space="preserve"> </w:t>
      </w:r>
      <w:r>
        <w:rPr>
          <w:b/>
          <w:bCs/>
        </w:rPr>
        <w:t xml:space="preserve">Pix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boleto D+0/D+1</w:t>
      </w:r>
      <w:r>
        <w:t xml:space="preserve"> </w:t>
      </w:r>
      <w:r>
        <w:t xml:space="preserve">para pacotes e serviços, pois melhoram a liquidez; cartões de crédito devem ser usados quando necessário, analisando o custo da antecipação【0†L7-L10】【4†L1-L5】.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Política de sinal e remarcação</w:t>
      </w:r>
      <w:r>
        <w:t xml:space="preserve">: cobrança de valor antecipado ou sinal reduz no no-show e melhora a previsibilidade de caixa【1†L1-L8】.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Negociação com fornecedores</w:t>
      </w:r>
      <w:r>
        <w:t xml:space="preserve">: alongar DPO (ex.: 30 dias) sem aumentar preço; considerar consignação para insumos de alto custo ou shelf life curto.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Provisão de encargos</w:t>
      </w:r>
      <w:r>
        <w:t xml:space="preserve">: reservar mensalmente 1/12 do valor total de 13º salário e férias (incluindo 1/3 constitucional) e cumprir FGTS no dia 20【6†L1-L8】【0†L3-L6】.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Pacotes e assinaturas</w:t>
      </w:r>
      <w:r>
        <w:t xml:space="preserve">: oferecem previsibilidade de receitas e fidelização.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Gestão de estoque</w:t>
      </w:r>
      <w:r>
        <w:t xml:space="preserve">: reduzir DIO com compras fracionadas, inventário cíclico e monitoramento de validade/temperatura【3†L1-L9】.</w:t>
      </w:r>
    </w:p>
    <w:bookmarkEnd w:id="32"/>
    <w:bookmarkStart w:id="35" w:name="Xef48c1d5088d36dd6d8e647888133d6395c9183"/>
    <w:p>
      <w:pPr>
        <w:pStyle w:val="Heading2"/>
      </w:pPr>
      <w:r>
        <w:t xml:space="preserve">Estrutura de Plano de Contas (Fluxo de Caixa Direto)</w:t>
      </w:r>
    </w:p>
    <w:bookmarkStart w:id="33" w:name="entradas"/>
    <w:p>
      <w:pPr>
        <w:pStyle w:val="Heading3"/>
      </w:pPr>
      <w:r>
        <w:t xml:space="preserve">Entradas</w:t>
      </w:r>
    </w:p>
    <w:p>
      <w:pPr>
        <w:pStyle w:val="Compact"/>
        <w:numPr>
          <w:ilvl w:val="0"/>
          <w:numId w:val="1008"/>
        </w:numPr>
      </w:pPr>
      <w:r>
        <w:t xml:space="preserve">Consultas; Procedimentos (toxina, preenchedores, fios, lasers); Pacotes/assinaturas; Vendas de produtos; Convênios; Ajustes/MDR estorno.</w:t>
      </w:r>
    </w:p>
    <w:bookmarkEnd w:id="33"/>
    <w:bookmarkStart w:id="34" w:name="saídas"/>
    <w:p>
      <w:pPr>
        <w:pStyle w:val="Heading3"/>
      </w:pPr>
      <w:r>
        <w:t xml:space="preserve">Saídas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Pessoal</w:t>
      </w:r>
      <w:r>
        <w:t xml:space="preserve">: salários, comissões, provisões de 13º e férias, encargos sociais.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Insumos</w:t>
      </w:r>
      <w:r>
        <w:t xml:space="preserve">: toxinas e dermocosméticos, descartáveis, equipamentos.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Tributos</w:t>
      </w:r>
      <w:r>
        <w:t xml:space="preserve">: ISS, DAS/DARF, PIS/COFINS.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Aluguel e utilidades</w:t>
      </w:r>
      <w:r>
        <w:t xml:space="preserve">: aluguel, condomínio, internet, energia, limpeza, descarte sanitário.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Marketing e vendas</w:t>
      </w:r>
      <w:r>
        <w:t xml:space="preserve">: mídia social, eventos, comissões de indicações.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Softwares e serviços</w:t>
      </w:r>
      <w:r>
        <w:t xml:space="preserve">: CRM, ERP, sistemas de agendamento.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Investimentos e financiamentos</w:t>
      </w:r>
      <w:r>
        <w:t xml:space="preserve">: compra de equipamentos, leasing, juros.</w:t>
      </w:r>
    </w:p>
    <w:bookmarkEnd w:id="34"/>
    <w:bookmarkEnd w:id="35"/>
    <w:bookmarkStart w:id="36" w:name="regras-de-decisão-para-o-gpt-da-clínica"/>
    <w:p>
      <w:pPr>
        <w:pStyle w:val="Heading2"/>
      </w:pPr>
      <w:r>
        <w:t xml:space="preserve">Regras de Decisão para o GPT da Clínica</w:t>
      </w:r>
    </w:p>
    <w:p>
      <w:pPr>
        <w:pStyle w:val="Compact"/>
        <w:numPr>
          <w:ilvl w:val="0"/>
          <w:numId w:val="1010"/>
        </w:numPr>
      </w:pPr>
      <w:r>
        <w:t xml:space="preserve">Solicitar informações locais:</w:t>
      </w:r>
      <w:r>
        <w:t xml:space="preserve"> </w:t>
      </w:r>
      <w:r>
        <w:rPr>
          <w:b/>
          <w:bCs/>
        </w:rPr>
        <w:t xml:space="preserve">alíquota de ISS</w:t>
      </w:r>
      <w:r>
        <w:t xml:space="preserve">,</w:t>
      </w:r>
      <w:r>
        <w:t xml:space="preserve"> </w:t>
      </w:r>
      <w:r>
        <w:rPr>
          <w:b/>
          <w:bCs/>
        </w:rPr>
        <w:t xml:space="preserve">CNAE</w:t>
      </w:r>
      <w:r>
        <w:t xml:space="preserve">,</w:t>
      </w:r>
      <w:r>
        <w:t xml:space="preserve"> </w:t>
      </w:r>
      <w:r>
        <w:rPr>
          <w:b/>
          <w:bCs/>
        </w:rPr>
        <w:t xml:space="preserve">regime tributário</w:t>
      </w:r>
      <w:r>
        <w:t xml:space="preserve">,</w:t>
      </w:r>
      <w:r>
        <w:t xml:space="preserve"> </w:t>
      </w:r>
      <w:r>
        <w:rPr>
          <w:b/>
          <w:bCs/>
        </w:rPr>
        <w:t xml:space="preserve">MDR/prazos de repasse</w:t>
      </w:r>
      <w:r>
        <w:t xml:space="preserve">,</w:t>
      </w:r>
      <w:r>
        <w:t xml:space="preserve"> </w:t>
      </w:r>
      <w:r>
        <w:rPr>
          <w:b/>
          <w:bCs/>
        </w:rPr>
        <w:t xml:space="preserve">capacidade de atendimento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política de agendamento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Não adivinhar alíquotas ou valores; pedir dados antes de simular.</w:t>
      </w:r>
    </w:p>
    <w:p>
      <w:pPr>
        <w:pStyle w:val="Compact"/>
        <w:numPr>
          <w:ilvl w:val="0"/>
          <w:numId w:val="1010"/>
        </w:numPr>
      </w:pPr>
      <w:r>
        <w:t xml:space="preserve">Calcular e exibir</w:t>
      </w:r>
      <w:r>
        <w:t xml:space="preserve"> </w:t>
      </w:r>
      <w:r>
        <w:rPr>
          <w:b/>
          <w:bCs/>
        </w:rPr>
        <w:t xml:space="preserve">CCC</w:t>
      </w:r>
      <w:r>
        <w:t xml:space="preserve">,</w:t>
      </w:r>
      <w:r>
        <w:t xml:space="preserve"> </w:t>
      </w:r>
      <w:r>
        <w:rPr>
          <w:b/>
          <w:bCs/>
        </w:rPr>
        <w:t xml:space="preserve">NCG</w:t>
      </w:r>
      <w:r>
        <w:t xml:space="preserve">,</w:t>
      </w:r>
      <w:r>
        <w:t xml:space="preserve"> </w:t>
      </w:r>
      <w:r>
        <w:rPr>
          <w:b/>
          <w:bCs/>
        </w:rPr>
        <w:t xml:space="preserve">RevPAH</w:t>
      </w:r>
      <w:r>
        <w:t xml:space="preserve">,</w:t>
      </w:r>
      <w:r>
        <w:t xml:space="preserve"> </w:t>
      </w:r>
      <w:r>
        <w:rPr>
          <w:b/>
          <w:bCs/>
        </w:rPr>
        <w:t xml:space="preserve">no-show</w:t>
      </w:r>
      <w:r>
        <w:t xml:space="preserve"> </w:t>
      </w:r>
      <w:r>
        <w:t xml:space="preserve">e outros KPIs, sugerindo estratégias para otimização.</w:t>
      </w:r>
    </w:p>
    <w:p>
      <w:pPr>
        <w:pStyle w:val="Compact"/>
        <w:numPr>
          <w:ilvl w:val="0"/>
          <w:numId w:val="1010"/>
        </w:numPr>
      </w:pPr>
      <w:r>
        <w:t xml:space="preserve">Perguntar sobre</w:t>
      </w:r>
      <w:r>
        <w:t xml:space="preserve"> </w:t>
      </w:r>
      <w:r>
        <w:rPr>
          <w:b/>
          <w:bCs/>
        </w:rPr>
        <w:t xml:space="preserve">estoque de termossensíveis</w:t>
      </w:r>
      <w:r>
        <w:t xml:space="preserve">, propondo alertas de validade e temperatura.</w:t>
      </w:r>
    </w:p>
    <w:p>
      <w:pPr>
        <w:pStyle w:val="Compact"/>
        <w:numPr>
          <w:ilvl w:val="0"/>
          <w:numId w:val="1010"/>
        </w:numPr>
      </w:pPr>
      <w:r>
        <w:t xml:space="preserve">Gerar alertas de provisões e vencimentos (FGTS dia 20, 13º em 30/11 e 20/12, férias).</w:t>
      </w:r>
    </w:p>
    <w:p>
      <w:pPr>
        <w:pStyle w:val="Compact"/>
        <w:numPr>
          <w:ilvl w:val="0"/>
          <w:numId w:val="1010"/>
        </w:numPr>
      </w:pPr>
      <w:r>
        <w:t xml:space="preserve">Indicar quando a clínica deve consultar um contador para validação de tributos ou decisões específicas.</w:t>
      </w:r>
    </w:p>
    <w:bookmarkEnd w:id="36"/>
    <w:bookmarkStart w:id="37" w:name="exemplos-de-perguntas-para-o-gpt"/>
    <w:p>
      <w:pPr>
        <w:pStyle w:val="Heading2"/>
      </w:pPr>
      <w:r>
        <w:t xml:space="preserve">Exemplos de Perguntas para o GPT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“Minha clínica em Goiânia (ISS 3%) está no Simples Nacional (Anexo III). Recebo 35% via crédito (MDR 3%, repasse D+30), 45% via Pix e 20% via débito (MDR 1,2% D+1). Fornecedores aceitam pagamento em 30 dias. No-show de 9%. Como reduzir o CCC?”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“Quero precificar um pacote de toxina com margem bruta mínima de 65%, considerando MDR, comissão de 8% e ISS local de 3%. Quanto devo cobrar?”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“Quanto devo provisionar por mês para o 13º salário e férias de 6 colaboradores?”</w:t>
      </w:r>
    </w:p>
    <w:bookmarkEnd w:id="37"/>
    <w:bookmarkStart w:id="38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Este guia reúne as principais práticas, indicadores e requisitos legais para gerir o fluxo de caixa de clínicas de estética no Brasil. Ao integrar essas informações ao GPT, os profissionais terão um apoio robusto para planejar, monitorar e melhorar sua performance financeira de forma sistemática e segura.</w:t>
      </w:r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1" w:name="citations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2025-09-11T13:23:25Z</dcterms:created>
  <dcterms:modified xsi:type="dcterms:W3CDTF">2025-09-11T13:23:25Z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