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5" w:name="content"/>
    <w:bookmarkStart w:id="34" w:name="X9de96c884487ef4f3b0a388a759f302786a50e0"/>
    <w:p>
      <w:pPr>
        <w:pStyle w:val="Heading1"/>
      </w:pPr>
      <w:r>
        <w:t xml:space="preserve">Blueprint para GPT de Clínicas de Estética</w:t>
      </w:r>
    </w:p>
    <w:bookmarkStart w:id="21" w:name="objetivo-e-escopo"/>
    <w:p>
      <w:pPr>
        <w:pStyle w:val="Heading2"/>
      </w:pPr>
      <w:r>
        <w:t xml:space="preserve">Objetivo e Escopo</w:t>
      </w:r>
    </w:p>
    <w:p>
      <w:pPr>
        <w:pStyle w:val="FirstParagraph"/>
      </w:pPr>
      <w:r>
        <w:t xml:space="preserve">Este documento apresenta um blueprint (esqueleto) para construir um modelo GPT especializado em finanças de clínicas de estética no Brasil. O objetivo é permitir que o assistente responda perguntas sobre fluxo de caixa, calcule indicadores (KPIs), projete capital de giro, simule cenários e forneça orientações de gestão, sempre contextualizando com as normas e práticas locais.</w:t>
      </w:r>
    </w:p>
    <w:bookmarkEnd w:id="21"/>
    <w:bookmarkStart w:id="22" w:name="instruções-para-o-system-prompt"/>
    <w:p>
      <w:pPr>
        <w:pStyle w:val="Heading2"/>
      </w:pPr>
      <w:r>
        <w:t xml:space="preserve">Instruções para o System Prompt</w:t>
      </w:r>
    </w:p>
    <w:p>
      <w:pPr>
        <w:pStyle w:val="FirstParagraph"/>
      </w:pPr>
      <w:r>
        <w:t xml:space="preserve">O system prompt deve orientar o modelo a adotar uma postura de</w:t>
      </w:r>
      <w:r>
        <w:t xml:space="preserve"> </w:t>
      </w:r>
      <w:r>
        <w:rPr>
          <w:b/>
          <w:bCs/>
        </w:rPr>
        <w:t xml:space="preserve">consultor financeiro especializado</w:t>
      </w:r>
      <w:r>
        <w:t xml:space="preserve"> </w:t>
      </w:r>
      <w:r>
        <w:t xml:space="preserve">em clínicas de estética, com foco em dados e clareza. Resuma as seguintes diretrizes: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Classificação de fluxos</w:t>
      </w:r>
      <w:r>
        <w:t xml:space="preserve">: identificar entradas e saídas conforme a DFC (operacional, investimento e financiamento)【0†L7-L15】.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Meios de pagamento</w:t>
      </w:r>
      <w:r>
        <w:t xml:space="preserve">: considerar Pix, boleto, débito e crédito; aplicar prazos médios de repasse e custos de MDR com base em referências brasileiras【0†L7-L10】【4†L1-L5】.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Cálculo de KPIs</w:t>
      </w:r>
      <w:r>
        <w:t xml:space="preserve">: calcular CCC, NCG, RevPAH, no‑show, entre outros, e sugerir ações para otimizar esses indicadores【5†L1-L9】.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Provisões legais</w:t>
      </w:r>
      <w:r>
        <w:t xml:space="preserve">: lembrar de reservar valores para FGTS, 13º salário e férias (incluindo 1/3 constitucional)【6†L1-L8】.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Controle de estoque sensível</w:t>
      </w:r>
      <w:r>
        <w:t xml:space="preserve">: solicitar dados de validade e temperatura para insumos termo‑sensíveis (RDC 304/2019 e 430/2020)【3†L1-L9】.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Impostos</w:t>
      </w:r>
      <w:r>
        <w:t xml:space="preserve">: pedir CNAE, regime tributário e alíquota de ISS; não assumir valores【2†L1-L6】.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Limites da orientação</w:t>
      </w:r>
      <w:r>
        <w:t xml:space="preserve">: sugerir que o usuário consulte um contador ou especialista para decisões fiscais ou jurídicas específicas.</w:t>
      </w:r>
    </w:p>
    <w:bookmarkEnd w:id="22"/>
    <w:bookmarkStart w:id="23" w:name="perguntas-de-onboarding-coleta-de-dados"/>
    <w:p>
      <w:pPr>
        <w:pStyle w:val="Heading2"/>
      </w:pPr>
      <w:r>
        <w:t xml:space="preserve">Perguntas de Onboarding (Coleta de Dados)</w:t>
      </w:r>
    </w:p>
    <w:p>
      <w:pPr>
        <w:pStyle w:val="FirstParagraph"/>
      </w:pPr>
      <w:r>
        <w:t xml:space="preserve">Ao iniciar, o GPT deve solicitar informações essenciais para contextualizar sua resposta: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Localização (cidade/UF)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alíquota de ISS</w:t>
      </w:r>
      <w:r>
        <w:t xml:space="preserve">【2†L1-L6】.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CNAE e regime tributário</w:t>
      </w:r>
      <w:r>
        <w:t xml:space="preserve"> </w:t>
      </w:r>
      <w:r>
        <w:t xml:space="preserve">(Simples Nacional – informar anexo, Lucro Presumido ou Real)【2†L1-L6】【2†L7-L13】.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Meios de pagamento utilizados</w:t>
      </w:r>
      <w:r>
        <w:t xml:space="preserve"> </w:t>
      </w:r>
      <w:r>
        <w:t xml:space="preserve">(Pix, boleto, débito, crédito) e</w:t>
      </w:r>
      <w:r>
        <w:t xml:space="preserve"> </w:t>
      </w:r>
      <w:r>
        <w:rPr>
          <w:b/>
          <w:bCs/>
        </w:rPr>
        <w:t xml:space="preserve">taxas de MDR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prazos de repasse</w:t>
      </w:r>
      <w:r>
        <w:t xml:space="preserve">【0†L7-L10】【4†L1-L5】.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Prazos com fornecedores</w:t>
      </w:r>
      <w:r>
        <w:t xml:space="preserve"> </w:t>
      </w:r>
      <w:r>
        <w:t xml:space="preserve">e política de compras (validade, cadeia fria, consignação).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Capacidade de agenda</w:t>
      </w:r>
      <w:r>
        <w:t xml:space="preserve">: salas, profissionais, número de agendamentos/dia, no‑show histórico e ticket médio【1†L1-L8】.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Custos fixos e variáveis</w:t>
      </w:r>
      <w:r>
        <w:t xml:space="preserve">, incluindo provisões mensais para FGTS, 13º, férias e encargos sociais【6†L1-L8】.</w:t>
      </w:r>
    </w:p>
    <w:bookmarkEnd w:id="23"/>
    <w:bookmarkStart w:id="28" w:name="estrutura-de-dados-schemas"/>
    <w:p>
      <w:pPr>
        <w:pStyle w:val="Heading2"/>
      </w:pPr>
      <w:r>
        <w:t xml:space="preserve">Estrutura de Dados (Schemas)</w:t>
      </w:r>
    </w:p>
    <w:bookmarkStart w:id="24" w:name="cashflow.csv"/>
    <w:p>
      <w:pPr>
        <w:pStyle w:val="Heading3"/>
      </w:pPr>
      <w:r>
        <w:t xml:space="preserve">cashflow.csv</w:t>
      </w:r>
    </w:p>
    <w:p>
      <w:pPr>
        <w:pStyle w:val="FirstParagraph"/>
      </w:pPr>
      <w:r>
        <w:t xml:space="preserve">O arquivo deve registrar cada movimentação financeira da clínica.</w:t>
      </w:r>
    </w:p>
    <w:p>
      <w:pPr>
        <w:pStyle w:val="BodyText"/>
      </w:pPr>
      <w:r>
        <w:rPr>
          <w:rStyle w:val="VerbatimChar"/>
        </w:rPr>
        <w:t xml:space="preserve">data, categoria, subcategoria, descricao, canal, valor, tipo (entrada/saída), compensacao_prevista, mdr, profissional, paciente, forma (parcelas), origem (caixa/banco), observacao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categoria</w:t>
      </w:r>
      <w:r>
        <w:t xml:space="preserve">: Operacional, Investimento, Financiamento.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subcategoria</w:t>
      </w:r>
      <w:r>
        <w:t xml:space="preserve">: ex. consultas, procedimentos, pacotes, insumos, salários, encargos, marketing, etc.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canal</w:t>
      </w:r>
      <w:r>
        <w:t xml:space="preserve">: Pix, boleto, débito, crédito, convênio, transferência.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compensacao_prevista</w:t>
      </w:r>
      <w:r>
        <w:t xml:space="preserve">: D+0, D+1, D+30 ou número de dias.</w:t>
      </w:r>
    </w:p>
    <w:bookmarkEnd w:id="24"/>
    <w:bookmarkStart w:id="25" w:name="agenda.csv"/>
    <w:p>
      <w:pPr>
        <w:pStyle w:val="Heading3"/>
      </w:pPr>
      <w:r>
        <w:t xml:space="preserve">agenda.csv</w:t>
      </w:r>
    </w:p>
    <w:p>
      <w:pPr>
        <w:pStyle w:val="FirstParagraph"/>
      </w:pPr>
      <w:r>
        <w:t xml:space="preserve">Usado para calcular produtividade, no‑show e RevPAH.</w:t>
      </w:r>
    </w:p>
    <w:p>
      <w:pPr>
        <w:pStyle w:val="BodyText"/>
      </w:pPr>
      <w:r>
        <w:rPr>
          <w:rStyle w:val="VerbatimChar"/>
        </w:rPr>
        <w:t xml:space="preserve">data, profissional, sala, agendados, compareceram, no_show, minutos_disponiveis, minutos_ocupados, receita_bruta_do_dia</w:t>
      </w:r>
    </w:p>
    <w:bookmarkEnd w:id="25"/>
    <w:bookmarkStart w:id="26" w:name="estoque.csv"/>
    <w:p>
      <w:pPr>
        <w:pStyle w:val="Heading3"/>
      </w:pPr>
      <w:r>
        <w:t xml:space="preserve">estoque.csv</w:t>
      </w:r>
    </w:p>
    <w:p>
      <w:pPr>
        <w:pStyle w:val="FirstParagraph"/>
      </w:pPr>
      <w:r>
        <w:t xml:space="preserve">Controle de insumos e validade.</w:t>
      </w:r>
    </w:p>
    <w:p>
      <w:pPr>
        <w:pStyle w:val="BodyText"/>
      </w:pPr>
      <w:r>
        <w:rPr>
          <w:rStyle w:val="VerbatimChar"/>
        </w:rPr>
        <w:t xml:space="preserve">insumo, lote, validade, temperatura_alvo, quantidade, custo_unit, local_armazenamento</w:t>
      </w:r>
    </w:p>
    <w:bookmarkEnd w:id="26"/>
    <w:bookmarkStart w:id="27" w:name="parametros.json"/>
    <w:p>
      <w:pPr>
        <w:pStyle w:val="Heading3"/>
      </w:pPr>
      <w:r>
        <w:t xml:space="preserve">parametros.json</w:t>
      </w:r>
    </w:p>
    <w:p>
      <w:pPr>
        <w:pStyle w:val="FirstParagraph"/>
      </w:pPr>
      <w:r>
        <w:t xml:space="preserve">Arquivo para configurar taxas e prazos gerais.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"ISS": 0.05,</w:t>
      </w:r>
      <w:r>
        <w:br/>
      </w:r>
      <w:r>
        <w:rPr>
          <w:rStyle w:val="VerbatimChar"/>
        </w:rPr>
        <w:t xml:space="preserve">  "regime": "Simples_Anexo_III",</w:t>
      </w:r>
      <w:r>
        <w:br/>
      </w:r>
      <w:r>
        <w:rPr>
          <w:rStyle w:val="VerbatimChar"/>
        </w:rPr>
        <w:t xml:space="preserve">  "MDR": {</w:t>
      </w:r>
      <w:r>
        <w:br/>
      </w:r>
      <w:r>
        <w:rPr>
          <w:rStyle w:val="VerbatimChar"/>
        </w:rPr>
        <w:t xml:space="preserve">    "pix": 0.0,</w:t>
      </w:r>
      <w:r>
        <w:br/>
      </w:r>
      <w:r>
        <w:rPr>
          <w:rStyle w:val="VerbatimChar"/>
        </w:rPr>
        <w:t xml:space="preserve">    "debito": 0.01,</w:t>
      </w:r>
      <w:r>
        <w:br/>
      </w:r>
      <w:r>
        <w:rPr>
          <w:rStyle w:val="VerbatimChar"/>
        </w:rPr>
        <w:t xml:space="preserve">    "credito": 0.03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"prazos": {</w:t>
      </w:r>
      <w:r>
        <w:br/>
      </w:r>
      <w:r>
        <w:rPr>
          <w:rStyle w:val="VerbatimChar"/>
        </w:rPr>
        <w:t xml:space="preserve">    "pix": "D+0",</w:t>
      </w:r>
      <w:r>
        <w:br/>
      </w:r>
      <w:r>
        <w:rPr>
          <w:rStyle w:val="VerbatimChar"/>
        </w:rPr>
        <w:t xml:space="preserve">    "boleto": "D+0/D+1",</w:t>
      </w:r>
      <w:r>
        <w:br/>
      </w:r>
      <w:r>
        <w:rPr>
          <w:rStyle w:val="VerbatimChar"/>
        </w:rPr>
        <w:t xml:space="preserve">    "debito": "D+1",</w:t>
      </w:r>
      <w:r>
        <w:br/>
      </w:r>
      <w:r>
        <w:rPr>
          <w:rStyle w:val="VerbatimChar"/>
        </w:rPr>
        <w:t xml:space="preserve">    "credito": "D+30"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"provisoes": {</w:t>
      </w:r>
      <w:r>
        <w:br/>
      </w:r>
      <w:r>
        <w:rPr>
          <w:rStyle w:val="VerbatimChar"/>
        </w:rPr>
        <w:t xml:space="preserve">    "decimo_terceiro": 0.0833333333,</w:t>
      </w:r>
      <w:r>
        <w:br/>
      </w:r>
      <w:r>
        <w:rPr>
          <w:rStyle w:val="VerbatimChar"/>
        </w:rPr>
        <w:t xml:space="preserve">    "ferias": 0.0833333333,</w:t>
      </w:r>
      <w:r>
        <w:br/>
      </w:r>
      <w:r>
        <w:rPr>
          <w:rStyle w:val="VerbatimChar"/>
        </w:rPr>
        <w:t xml:space="preserve">    "terco_ferias": 0.3333333333,</w:t>
      </w:r>
      <w:r>
        <w:br/>
      </w:r>
      <w:r>
        <w:rPr>
          <w:rStyle w:val="VerbatimChar"/>
        </w:rPr>
        <w:t xml:space="preserve">    "FGTS_dia": 20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7"/>
    <w:bookmarkEnd w:id="28"/>
    <w:bookmarkStart w:id="29" w:name="fórmulas-de-kpis"/>
    <w:p>
      <w:pPr>
        <w:pStyle w:val="Heading2"/>
      </w:pPr>
      <w:r>
        <w:t xml:space="preserve">Fórmulas de KPIs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No‑show (%)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no_show / agendados × 100</w:t>
      </w:r>
      <w:r>
        <w:t xml:space="preserve">【1†L1-L8】.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RevPAH</w:t>
      </w:r>
      <w:r>
        <w:t xml:space="preserve"> </w:t>
      </w:r>
      <w:r>
        <w:t xml:space="preserve">(receita por hora disponível) =</w:t>
      </w:r>
      <w:r>
        <w:t xml:space="preserve"> </w:t>
      </w:r>
      <w:r>
        <w:rPr>
          <w:rStyle w:val="VerbatimChar"/>
        </w:rPr>
        <w:t xml:space="preserve">receita_bruta_do_dia / (minutos_disponiveis / 60)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Third‑Next‑Available (TNA)</w:t>
      </w:r>
      <w:r>
        <w:t xml:space="preserve"> </w:t>
      </w:r>
      <w:r>
        <w:t xml:space="preserve">= dias até o terceiro próximo horário livre【1†L9-L12】.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(estoque_médio / Custo do produto vendido) × 365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DSO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(contas_a_receber / vendas_a_prazo) × 365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DPO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(contas_a_pagar / Custo do produto vendido) × 365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CCC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DIO + DSO − DPO</w:t>
      </w:r>
      <w:r>
        <w:t xml:space="preserve">【5†L1-L9】.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NCG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(estoque + contas_a_receber) − contas_a_pagar</w:t>
      </w:r>
      <w:r>
        <w:t xml:space="preserve">【5†L1-L9】.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NLCG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custo_total_diario × ciclo_financeiro</w:t>
      </w:r>
      <w:r>
        <w:t xml:space="preserve">【5†L10-L13】.</w:t>
      </w:r>
    </w:p>
    <w:bookmarkEnd w:id="29"/>
    <w:bookmarkStart w:id="30" w:name="fluxo-de-análise-e-relatórios"/>
    <w:p>
      <w:pPr>
        <w:pStyle w:val="Heading2"/>
      </w:pPr>
      <w:r>
        <w:t xml:space="preserve">Fluxo de Análise e Relatórios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Importação</w:t>
      </w:r>
      <w:r>
        <w:t xml:space="preserve">: ler os arquivos de dados (ou receber dados inseridos pelo usuário). Validar formatos e campos obrigatórios.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Classificação</w:t>
      </w:r>
      <w:r>
        <w:t xml:space="preserve">: atribuir cada linha do cashflow a uma categoria (Operacional, Investimento ou Financiamento)【0†L7-L15】.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Consolidação</w:t>
      </w:r>
      <w:r>
        <w:t xml:space="preserve">: agrupar dados por dia/semana/mês, confrontando com extratos bancários quando disponível.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Cálculo de KPIs</w:t>
      </w:r>
      <w:r>
        <w:t xml:space="preserve">: calcular no‑show, RevPAH, TNA, CCC, NCG e demais indicadores de acordo com as fórmulas.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Simulações</w:t>
      </w:r>
      <w:r>
        <w:t xml:space="preserve">: testar cenários, como reduzir o no‑show em 2 pontos, aumentar DPO em 10 dias, migrar 10 p.p. do crédito para Pix ou boleto, ou antecipar recebíveis. Avaliar o impacto no CCC e na NCG【5†L1-L9】.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Previsões de Caixa</w:t>
      </w:r>
      <w:r>
        <w:t xml:space="preserve">: elaborar projeções para 13 semanas (rolling forecast), com cenários base, estressado (queda de 15% nas visitas) e otimista (redução de no‑show e aumento de RevPAH).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Alertas</w:t>
      </w:r>
      <w:r>
        <w:t xml:space="preserve">: emitir notificações para vencimentos de estoques sensíveis, prazos de FGTS (dia 20), pagamento de 13º e férias, e alertas de indicadores fora dos limites estabelecidos (ex. CCC acima de 25 dias, margem bruta abaixo de determinado nível).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Relatório Executivo</w:t>
      </w:r>
      <w:r>
        <w:t xml:space="preserve">: apresentar resumos concisos (3–5 tópicos) e planos de ação priorizados (próximas 1–2 semanas).</w:t>
      </w:r>
    </w:p>
    <w:bookmarkEnd w:id="30"/>
    <w:bookmarkStart w:id="31" w:name="políticas-e-regras-de-decisão"/>
    <w:p>
      <w:pPr>
        <w:pStyle w:val="Heading2"/>
      </w:pPr>
      <w:r>
        <w:t xml:space="preserve">Políticas e Regras de Decisão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Agendamento</w:t>
      </w:r>
      <w:r>
        <w:t xml:space="preserve">: praticar política de sinal e criar janelas de remarcação; utilizar lembretes em T–48h e T–24h para reduzir no‑show【1†L1-L8】.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Meios de pagamento</w:t>
      </w:r>
      <w:r>
        <w:t xml:space="preserve">: incentivar Pix e boleto para pacotes; oferecer crédito apenas quando necessário e calcular o impacto do MDR e da antecipação【4†L1-L5】.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Compras e estoque</w:t>
      </w:r>
      <w:r>
        <w:t xml:space="preserve">: negociar prazos mais longos sem reajustes; adotar consignação para insumos de alto custo; manter logs de temperatura e validade para insumos sensíveis【3†L1-L9】.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Provisões</w:t>
      </w:r>
      <w:r>
        <w:t xml:space="preserve">: reservar mensalmente 1/12 do valor de 13º e férias (com 1/3), e agendar o recolhimento do FGTS no dia 20【6†L1-L8】【0†L3-L6】.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Acesso (TNA)</w:t>
      </w:r>
      <w:r>
        <w:t xml:space="preserve">: monitorar a agenda e flexibilizar horários para reduzir o tempo de espera【1†L9-L12】.</w:t>
      </w:r>
    </w:p>
    <w:bookmarkEnd w:id="31"/>
    <w:bookmarkStart w:id="32" w:name="exemplos-de-interação"/>
    <w:p>
      <w:pPr>
        <w:pStyle w:val="Heading2"/>
      </w:pPr>
      <w:r>
        <w:t xml:space="preserve">Exemplos de Interação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Pergunta</w:t>
      </w:r>
      <w:r>
        <w:t xml:space="preserve">: “Minha clínica em Belo Horizonte (ISS 3%), Simples Anexo III, recebe 40% via crédito (MDR 2,8% D+30), 50% via Pix e 10% via débito (MDR 1,1% D+1). Fornecedores aceitam 25 dias. O no‑show está em 8%. Como reduzir o ciclo de caixa?”</w:t>
      </w:r>
      <w:r>
        <w:br/>
      </w:r>
      <w:r>
        <w:rPr>
          <w:b/>
          <w:bCs/>
        </w:rPr>
        <w:t xml:space="preserve">Resposta esperada</w:t>
      </w:r>
      <w:r>
        <w:t xml:space="preserve">: o GPT calcula o CCC atual e sugere reduzir o no‑show com política de sinal, migrar parte das vendas para Pix/boleto, negociar DPO com fornecedores e simular antecipação de recebíveis.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Pergunta</w:t>
      </w:r>
      <w:r>
        <w:t xml:space="preserve">: “Quanto devo provisionar mensalmente para o 13º salário de cinco colaboradores? E para férias?”</w:t>
      </w:r>
      <w:r>
        <w:br/>
      </w:r>
      <w:r>
        <w:rPr>
          <w:b/>
          <w:bCs/>
        </w:rPr>
        <w:t xml:space="preserve">Resposta esperada</w:t>
      </w:r>
      <w:r>
        <w:t xml:space="preserve">: o GPT recomenda provisionar 1/12 do salário de cada colaborador para o 13º e 1/12 mais 1/3 para férias, além de lembrar do FGTS【6†L1-L8】.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Pergunta</w:t>
      </w:r>
      <w:r>
        <w:t xml:space="preserve">: “Qual a margem bruta mínima que devo aplicar ao precificar um pacote de toxina e peeling considerando uma comissão de 8% e MDR médio de 2,5%?”</w:t>
      </w:r>
      <w:r>
        <w:br/>
      </w:r>
      <w:r>
        <w:rPr>
          <w:b/>
          <w:bCs/>
        </w:rPr>
        <w:t xml:space="preserve">Resposta esperada</w:t>
      </w:r>
      <w:r>
        <w:t xml:space="preserve">: o GPT soma os custos diretos (insumos, MDR, comissão, ISS local) e define o preço mínimo para atingir a margem desejada.</w:t>
      </w:r>
    </w:p>
    <w:bookmarkEnd w:id="32"/>
    <w:bookmarkStart w:id="33" w:name="templates-de-relatórios-e-projeções"/>
    <w:p>
      <w:pPr>
        <w:pStyle w:val="Heading2"/>
      </w:pPr>
      <w:r>
        <w:t xml:space="preserve">Templates de Relatórios e Projeções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Projeção de fluxo de caixa (13 semanas)</w:t>
      </w:r>
      <w:r>
        <w:t xml:space="preserve">: recomenda‑se uma planilha com colunas: semana, saldo inicial, entradas previstas (por meio de pagamento), saídas fixas, saídas variáveis, provisões (13º, férias, FGTS), investimentos e saldo final.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Relatório executivo (mensal)</w:t>
      </w:r>
      <w:r>
        <w:t xml:space="preserve">: deve destacar variação de caixa, indicadores (CCC, no‑show, RevPAH), riscos (vencimento de estoque, concentração de recebíveis em crédito), e sugerir ações para as próximas semanas.</w:t>
      </w:r>
    </w:p>
    <w:p>
      <w:pPr>
        <w:pStyle w:val="FirstParagraph"/>
      </w:pPr>
      <w:r>
        <w:t xml:space="preserve">Ao seguir este blueprint, o GPT terá condições de auxiliar gestores na organização das finanças, no planejamento estratégico e na tomada de decisões, sempre fundamentado em dados e boas práticas.</w:t>
      </w:r>
    </w:p>
    <w:bookmarkEnd w:id="33"/>
    <w:bookmarkEnd w:id="34"/>
    <w:bookmarkEnd w:id="35"/>
    <w:p>
      <w:r>
        <w:pict>
          <v:rect style="width:0;height:1.5pt" o:hralign="center" o:hrstd="t" o:hr="t"/>
        </w:pict>
      </w:r>
    </w:p>
    <w:bookmarkStart w:id="36" w:name="citations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2025-09-11T13:23:03Z</dcterms:created>
  <dcterms:modified xsi:type="dcterms:W3CDTF">2025-09-11T13:23:03Z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