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8" w:name="content"/>
    <w:bookmarkStart w:id="37" w:name="Xc2521a10302a25bd4c7197d57a2ab9404baf003"/>
    <w:p>
      <w:pPr>
        <w:pStyle w:val="Heading1"/>
      </w:pPr>
      <w:r>
        <w:t xml:space="preserve">Guia Completo de Gestão Financeira para Clínicas de Estética</w:t>
      </w:r>
    </w:p>
    <w:bookmarkStart w:id="21" w:name="introdução"/>
    <w:p>
      <w:pPr>
        <w:pStyle w:val="Heading2"/>
      </w:pPr>
      <w:r>
        <w:t xml:space="preserve">Introdução</w:t>
      </w:r>
    </w:p>
    <w:p>
      <w:pPr>
        <w:pStyle w:val="FirstParagraph"/>
      </w:pPr>
      <w:r>
        <w:t xml:space="preserve">A gestão financeira em clínicas de estética vai muito além de registrar entradas e saídas. É preciso entender os fluxos de caixa, os prazos de recebimento e pagamento, as obrigações trabalhistas e fiscais, além de integrar indicadores de desempenho para apoiar decisões. Este guia apresenta um panorama abrangente das melhores práticas, dados e procedimentos que embasarão o GPT a ser criado para clínicas de estética avançada.</w:t>
      </w:r>
    </w:p>
    <w:bookmarkEnd w:id="21"/>
    <w:bookmarkStart w:id="26" w:name="estrutura-contábil-e-normativas"/>
    <w:p>
      <w:pPr>
        <w:pStyle w:val="Heading2"/>
      </w:pPr>
      <w:r>
        <w:t xml:space="preserve">Estrutura Contábil e Normativas</w:t>
      </w:r>
    </w:p>
    <w:bookmarkStart w:id="22" w:name="demonstração-dos-fluxos-de-caixa-dfc"/>
    <w:p>
      <w:pPr>
        <w:pStyle w:val="Heading3"/>
      </w:pPr>
      <w:r>
        <w:t xml:space="preserve">Demonstração dos Fluxos de Caixa (DFC)</w:t>
      </w:r>
    </w:p>
    <w:p>
      <w:pPr>
        <w:pStyle w:val="FirstParagraph"/>
      </w:pPr>
      <w:r>
        <w:t xml:space="preserve">A NBC TG 03 (equivalente à IAS 7) determina que a DFC deve separar os fluxos</w:t>
      </w:r>
      <w:r>
        <w:t xml:space="preserve"> </w:t>
      </w:r>
      <w:r>
        <w:rPr>
          <w:b/>
          <w:bCs/>
        </w:rPr>
        <w:t xml:space="preserve">operacionais</w:t>
      </w:r>
      <w:r>
        <w:t xml:space="preserve">,</w:t>
      </w:r>
      <w:r>
        <w:t xml:space="preserve"> </w:t>
      </w:r>
      <w:r>
        <w:rPr>
          <w:b/>
          <w:bCs/>
        </w:rPr>
        <w:t xml:space="preserve">de investimento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de financiamento</w:t>
      </w:r>
      <w:r>
        <w:t xml:space="preserve">. Para clínicas de estética, recomenda‑se o</w:t>
      </w:r>
      <w:r>
        <w:t xml:space="preserve"> </w:t>
      </w:r>
      <w:r>
        <w:rPr>
          <w:b/>
          <w:bCs/>
        </w:rPr>
        <w:t xml:space="preserve">método direto</w:t>
      </w:r>
      <w:r>
        <w:t xml:space="preserve">, porque exibe as entradas e saídas de forma detalhada, facilitando a gestão diária【0†L7-L15】. O método indireto complementa a reconciliação com o resultado contábil.</w:t>
      </w:r>
    </w:p>
    <w:bookmarkEnd w:id="22"/>
    <w:bookmarkStart w:id="23" w:name="tributação"/>
    <w:p>
      <w:pPr>
        <w:pStyle w:val="Heading3"/>
      </w:pPr>
      <w:r>
        <w:t xml:space="preserve">Tributação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</w:t>
      </w:r>
      <w:r>
        <w:t xml:space="preserve">: imposto municipal com alíquota máxima de 5% do faturamento【2†L1-L6】. A alíquota varia conforme o município e a atividade (CNAE), portanto o modelo deve sempre pedir a alíquota local antes de simular valores.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Regime tributário</w:t>
      </w:r>
      <w:r>
        <w:t xml:space="preserve">: clínicas podem estar no</w:t>
      </w:r>
      <w:r>
        <w:t xml:space="preserve"> </w:t>
      </w:r>
      <w:r>
        <w:rPr>
          <w:b/>
          <w:bCs/>
        </w:rPr>
        <w:t xml:space="preserve">Simples Nacional</w:t>
      </w:r>
      <w:r>
        <w:t xml:space="preserve">,</w:t>
      </w:r>
      <w:r>
        <w:t xml:space="preserve"> </w:t>
      </w:r>
      <w:r>
        <w:rPr>
          <w:b/>
          <w:bCs/>
        </w:rPr>
        <w:t xml:space="preserve">Lucro Presumido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Lucro Real</w:t>
      </w:r>
      <w:r>
        <w:t xml:space="preserve">. No Simples, a atividade se enquadra em diferentes anexos conforme a natureza dos serviços【2†L1-L6】【2†L7-L13】.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PIS e COFINS</w:t>
      </w:r>
      <w:r>
        <w:t xml:space="preserve">: a modalidade cumulativa ou não cumulativa depende do regime; as alíquotas e créditos de insumos variam【2†L13-L16】.</w:t>
      </w:r>
    </w:p>
    <w:bookmarkEnd w:id="23"/>
    <w:bookmarkStart w:id="24" w:name="obrigações-trabalhistas"/>
    <w:p>
      <w:pPr>
        <w:pStyle w:val="Heading3"/>
      </w:pPr>
      <w:r>
        <w:t xml:space="preserve">Obrigações Trabalhistas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FGTS Digital</w:t>
      </w:r>
      <w:r>
        <w:t xml:space="preserve">: recolhimento até o dia 20 do mês seguinte ao da competência【0†L3-L6】.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13º salário</w:t>
      </w:r>
      <w:r>
        <w:t xml:space="preserve">: a primeira parcela deve ser paga até 30/11 e a segunda até 20/12【6†L1-L6】. Provisione mensalmente 1/12 do total.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Férias</w:t>
      </w:r>
      <w:r>
        <w:t xml:space="preserve">: o empregado tem direito a férias anuais remuneradas acrescidas de um terço constitucional【6†L7-L8】; recomenda-se provisionar 1/12 do salário e o 1/3 adicional a cada mês.</w:t>
      </w:r>
    </w:p>
    <w:bookmarkEnd w:id="24"/>
    <w:bookmarkStart w:id="25" w:name="armazenagem-e-insumos-sensíveis"/>
    <w:p>
      <w:pPr>
        <w:pStyle w:val="Heading3"/>
      </w:pPr>
      <w:r>
        <w:t xml:space="preserve">Armazenagem e Insumos Sensíveis</w:t>
      </w:r>
    </w:p>
    <w:p>
      <w:pPr>
        <w:pStyle w:val="FirstParagraph"/>
      </w:pPr>
      <w:r>
        <w:t xml:space="preserve">A RDC 304/2019 e a RDC 430/2020 determinam boas práticas de armazenamento, distribuição e transporte de medicamentos e produtos de saúde. Para toxina botulínica e dermocosméticos termo‑sensíveis, a clínica deve manter temperatura controlada (2–8 °C), registrar e arquivar medições de temperatura e controlar a validade【3†L1-L9】.</w:t>
      </w:r>
    </w:p>
    <w:bookmarkEnd w:id="25"/>
    <w:bookmarkEnd w:id="26"/>
    <w:bookmarkStart w:id="29" w:name="X90c2bb315391e2ed4506af0659daa13d0b9a517"/>
    <w:p>
      <w:pPr>
        <w:pStyle w:val="Heading2"/>
      </w:pPr>
      <w:r>
        <w:t xml:space="preserve">Ciclo de Conversão de Caixa e Capital de Giro</w:t>
      </w:r>
    </w:p>
    <w:bookmarkStart w:id="27" w:name="conceitos"/>
    <w:p>
      <w:pPr>
        <w:pStyle w:val="Heading3"/>
      </w:pPr>
      <w:r>
        <w:t xml:space="preserve">Conceitos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Ciclo de Conversão de Caixa (CCC)</w:t>
      </w:r>
      <w:r>
        <w:t xml:space="preserve"> </w:t>
      </w:r>
      <w:r>
        <w:t xml:space="preserve">mede o tempo que a clínica leva para recuperar em caixa o valor investido no processo produtivo. É calculado como:</w:t>
      </w:r>
    </w:p>
    <w:p>
      <w:pPr>
        <w:pStyle w:val="BlockText"/>
      </w:pPr>
      <w:r>
        <w:rPr>
          <w:b/>
          <w:bCs/>
        </w:rPr>
        <w:t xml:space="preserve">CCC = DIO + DSO − DPO</w:t>
      </w:r>
      <w:r>
        <w:t xml:space="preserve">【5†L1-L9】</w:t>
      </w:r>
    </w:p>
    <w:p>
      <w:pPr>
        <w:pStyle w:val="FirstParagraph"/>
      </w:pPr>
      <w:r>
        <w:t xml:space="preserve">onde: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DIO (Days Inventory Outstanding)</w:t>
      </w:r>
      <w:r>
        <w:t xml:space="preserve"> </w:t>
      </w:r>
      <w:r>
        <w:t xml:space="preserve">– número médio de dias que os insumos permanecem em estoque antes de serem utilizados.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DSO (Days Sales Outstanding)</w:t>
      </w:r>
      <w:r>
        <w:t xml:space="preserve"> </w:t>
      </w:r>
      <w:r>
        <w:t xml:space="preserve">– número médio de dias para receber pagamentos; parcelamentos em cartões de crédito ampliam o DSO.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DPO (Days Payable Outstanding)</w:t>
      </w:r>
      <w:r>
        <w:t xml:space="preserve"> </w:t>
      </w:r>
      <w:r>
        <w:t xml:space="preserve">– prazo médio negociado com fornecedores; aumentar o DPO reduz a necessidade de capital de giro.</w:t>
      </w:r>
    </w:p>
    <w:bookmarkEnd w:id="27"/>
    <w:bookmarkStart w:id="28" w:name="necessidade-de-capital-de-giro-ncg"/>
    <w:p>
      <w:pPr>
        <w:pStyle w:val="Heading3"/>
      </w:pPr>
      <w:r>
        <w:t xml:space="preserve">Necessidade de Capital de Giro (NCG)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NCG</w:t>
      </w:r>
      <w:r>
        <w:t xml:space="preserve"> </w:t>
      </w:r>
      <w:r>
        <w:t xml:space="preserve">é a diferença entre ativos circulantes operacionais (estoque e contas a receber) e passivos circulantes operacionais (contas a pagar). Pode ser calculada pelo balanço ou estimada pela seguinte aproximação:</w:t>
      </w:r>
    </w:p>
    <w:p>
      <w:pPr>
        <w:pStyle w:val="BlockText"/>
      </w:pPr>
      <w:r>
        <w:rPr>
          <w:b/>
          <w:bCs/>
        </w:rPr>
        <w:t xml:space="preserve">NCG = Estoque + Contas a Receber − Contas a Pagar</w:t>
      </w:r>
      <w:r>
        <w:t xml:space="preserve">【5†L1-L9】</w:t>
      </w:r>
    </w:p>
    <w:p>
      <w:pPr>
        <w:pStyle w:val="BlockText"/>
      </w:pPr>
      <w:r>
        <w:rPr>
          <w:b/>
          <w:bCs/>
        </w:rPr>
        <w:t xml:space="preserve">NLCG (Necessidade Líquida de Capital de Giro) = Custo diário total × Ciclo financeiro</w:t>
      </w:r>
      <w:r>
        <w:t xml:space="preserve">【5†L10-L13】</w:t>
      </w:r>
    </w:p>
    <w:p>
      <w:pPr>
        <w:pStyle w:val="FirstParagraph"/>
      </w:pPr>
      <w:r>
        <w:t xml:space="preserve">Calcular o ciclo de caixa e a NCG auxilia a clínica a planejar o saldo mínimo de caixa e avaliar o impacto de mudanças nos prazos de pagamento e recebimento.</w:t>
      </w:r>
    </w:p>
    <w:bookmarkEnd w:id="28"/>
    <w:bookmarkEnd w:id="29"/>
    <w:bookmarkStart w:id="30" w:name="métodos-de-pagamento-e-recebimento"/>
    <w:p>
      <w:pPr>
        <w:pStyle w:val="Heading2"/>
      </w:pPr>
      <w:r>
        <w:t xml:space="preserve">Métodos de Pagamento e Recebimento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Pix</w:t>
      </w:r>
      <w:r>
        <w:t xml:space="preserve">: liquidação imediata, sem custo fixado pelo Banco Central; as tarifas são negociadas com a instituição financeira【0†L7-L10】. Ideal para pacotes e pagamentos à vista.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Boleto</w:t>
      </w:r>
      <w:r>
        <w:t xml:space="preserve">: a modernização do boleto permite liquidação no mesmo dia (</w:t>
      </w:r>
      <w:r>
        <w:rPr>
          <w:b/>
          <w:bCs/>
        </w:rPr>
        <w:t xml:space="preserve">D+0</w:t>
      </w:r>
      <w:r>
        <w:t xml:space="preserve">) ou no dia seguinte (</w:t>
      </w:r>
      <w:r>
        <w:rPr>
          <w:b/>
          <w:bCs/>
        </w:rPr>
        <w:t xml:space="preserve">D+1</w:t>
      </w:r>
      <w:r>
        <w:t xml:space="preserve">) se pago até determinado horário【4†L1-L2】. Útil para pagamentos programados e recorrentes.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Cartões de débito e pré‑pago</w:t>
      </w:r>
      <w:r>
        <w:t xml:space="preserve">: o Banco Central estabeleceu um teto para a tarifa de intercâmbio de</w:t>
      </w:r>
      <w:r>
        <w:t xml:space="preserve"> </w:t>
      </w:r>
      <w:r>
        <w:rPr>
          <w:b/>
          <w:bCs/>
        </w:rPr>
        <w:t xml:space="preserve">0,5%</w:t>
      </w:r>
      <w:r>
        <w:t xml:space="preserve"> </w:t>
      </w:r>
      <w:r>
        <w:t xml:space="preserve">no débito e</w:t>
      </w:r>
      <w:r>
        <w:t xml:space="preserve"> </w:t>
      </w:r>
      <w:r>
        <w:rPr>
          <w:b/>
          <w:bCs/>
        </w:rPr>
        <w:t xml:space="preserve">0,7%</w:t>
      </w:r>
      <w:r>
        <w:t xml:space="preserve"> </w:t>
      </w:r>
      <w:r>
        <w:t xml:space="preserve">em cartões pré‑pagos【7†L1-L7】.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Cartão de crédito</w:t>
      </w:r>
      <w:r>
        <w:t xml:space="preserve">: o repasse ao lojista costuma ocorrer em</w:t>
      </w:r>
      <w:r>
        <w:t xml:space="preserve"> </w:t>
      </w:r>
      <w:r>
        <w:rPr>
          <w:b/>
          <w:bCs/>
        </w:rPr>
        <w:t xml:space="preserve">D+30</w:t>
      </w:r>
      <w:r>
        <w:t xml:space="preserve">; antecipar recebíveis gera custos adicionais【4†L1-L5】.</w:t>
      </w:r>
    </w:p>
    <w:p>
      <w:pPr>
        <w:pStyle w:val="FirstParagraph"/>
      </w:pPr>
      <w:r>
        <w:t xml:space="preserve">Diversificar os meios de pagamento, privilegiando Pix e boletos (D+0/D+1) para pacotes, melhora a liquidez. Para valores altos, o crédito pode ser uma opção se a taxa de antecipação for viável.</w:t>
      </w:r>
    </w:p>
    <w:bookmarkEnd w:id="30"/>
    <w:bookmarkStart w:id="33" w:name="indicadores-de-performance-kpis"/>
    <w:p>
      <w:pPr>
        <w:pStyle w:val="Heading2"/>
      </w:pPr>
      <w:r>
        <w:t xml:space="preserve">Indicadores de Performance (KPIs)</w:t>
      </w:r>
    </w:p>
    <w:bookmarkStart w:id="31" w:name="operacionais"/>
    <w:p>
      <w:pPr>
        <w:pStyle w:val="Heading3"/>
      </w:pPr>
      <w:r>
        <w:t xml:space="preserve">Operacionais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No‑show (%)</w:t>
      </w:r>
      <w:r>
        <w:t xml:space="preserve">: percentual de agendamentos em que o paciente não comparece. Benchmarks variam entre 5% e 7% em clínicas bem geridas【1†L1-L8】; valores maiores podem indicar problemas no processo de confirmação. Políticas de sinal e lembretes por SMS/WhatsApp ajudam a reduzir o no‑show.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Third‑Next‑Available (TNA)</w:t>
      </w:r>
      <w:r>
        <w:t xml:space="preserve">: intervalo (em dias) até o terceiro próximo horário disponível, indicando a capacidade de atendimento e a oferta de agenda【1†L9-L12】. Quanto menor o TNA, maior a acessibilidade.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Produtividade/hora (RevPAH)</w:t>
      </w:r>
      <w:r>
        <w:t xml:space="preserve">: receita bruta gerada por hora disponível, calculada a partir dos dados de agenda (receita / horas disponíveis).</w:t>
      </w:r>
    </w:p>
    <w:bookmarkEnd w:id="31"/>
    <w:bookmarkStart w:id="32" w:name="comerciais-e-financeiros"/>
    <w:p>
      <w:pPr>
        <w:pStyle w:val="Heading3"/>
      </w:pPr>
      <w:r>
        <w:t xml:space="preserve">Comerciais e Financeiros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Ticket médio</w:t>
      </w:r>
      <w:r>
        <w:t xml:space="preserve">: receita média por visita; indica o valor médio gasto pelos clientes em cada atendimento.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Lifetime Value (LTV)</w:t>
      </w:r>
      <w:r>
        <w:t xml:space="preserve">: receita total projetada que um cliente gera ao longo do relacionamento com a clínica.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Margem bruta por procedimento</w:t>
      </w:r>
      <w:r>
        <w:t xml:space="preserve">: receita menos custos diretos (insumos, comissões e tarifas de pagamento).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EBITDA</w:t>
      </w:r>
      <w:r>
        <w:t xml:space="preserve">: lucro antes de juros, impostos, depreciação e amortização; importante para avaliar a lucratividade operacional.</w:t>
      </w:r>
    </w:p>
    <w:p>
      <w:pPr>
        <w:pStyle w:val="FirstParagraph"/>
      </w:pPr>
      <w:r>
        <w:t xml:space="preserve">Monitorar KPIs regularmente orienta decisões estratégicas, identifica gargalos e mensura o retorno de investimentos em marketing, equipamentos e capacitação.</w:t>
      </w:r>
    </w:p>
    <w:bookmarkEnd w:id="32"/>
    <w:bookmarkEnd w:id="33"/>
    <w:bookmarkStart w:id="34" w:name="X7e29d6eb75cd4aede9ae910a7a7512586d5b1e5"/>
    <w:p>
      <w:pPr>
        <w:pStyle w:val="Heading2"/>
      </w:pPr>
      <w:r>
        <w:t xml:space="preserve">Boas Práticas de Gestão do Fluxo de Caixa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Controle diário de caixa</w:t>
      </w:r>
      <w:r>
        <w:t xml:space="preserve">: registre todas as entradas e saídas, classificando por natureza (operacional, investimento ou financiamento). Acompanhe também a origem (Pix, boleto, cartão) e o prazo de compensação.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Mix de meios de pagamento</w:t>
      </w:r>
      <w:r>
        <w:t xml:space="preserve">: priorize Pix e boletos D+0/D+1 para serviços e pacotes; use cartão de crédito apenas quando necessário, considerando o custo de antecipação【0†L7-L10】【4†L1-L5】.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Política de sinal</w:t>
      </w:r>
      <w:r>
        <w:t xml:space="preserve">: solicite um pagamento adiantado para reduzir o no‑show; informe claramente as regras de cancelamento.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Negociação com fornecedores</w:t>
      </w:r>
      <w:r>
        <w:t xml:space="preserve">: aumente o DPO negociando prazos sem incorrer em reajustes de preço; considere consignação para insumos de alto valor ou curta validade.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Provisões legais</w:t>
      </w:r>
      <w:r>
        <w:t xml:space="preserve">: reserve mensalmente 1/12 do valor do 13º salário e das férias (incluindo 1/3 constitucional) e programe o pagamento do FGTS no dia 20【6†L1-L8】【0†L3-L6】.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Pacotes e assinaturas</w:t>
      </w:r>
      <w:r>
        <w:t xml:space="preserve">: ofereça planos de múltiplas sessões e assinaturas mensais para suavizar a sazonalidade e trazer previsibilidade ao fluxo de caixa.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Gestão de estoque</w:t>
      </w:r>
      <w:r>
        <w:t xml:space="preserve">: adote inventário cíclico, datas de validade e registros de temperatura para insumos sensíveis【3†L1-L9】; reduza o DIO comprando em lotes menores, alinhados ao volume de demanda.</w:t>
      </w:r>
    </w:p>
    <w:bookmarkEnd w:id="34"/>
    <w:bookmarkStart w:id="35" w:name="tabelas-e-fórmulas-úteis"/>
    <w:p>
      <w:pPr>
        <w:pStyle w:val="Heading2"/>
      </w:pPr>
      <w:r>
        <w:t xml:space="preserve">Tabelas e Fórmulas Úteis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Explicação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DIO + DSO − DPO</w:t>
            </w:r>
          </w:p>
        </w:tc>
        <w:tc>
          <w:tcPr/>
          <w:p>
            <w:pPr>
              <w:pStyle w:val="Compact"/>
            </w:pPr>
            <w:r>
              <w:t xml:space="preserve">tempo médio para converter estoque e contas a receber em caixa【5†L1-L9】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NCG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(Estoque + Contas a Receber) − Contas a Pagar</w:t>
            </w:r>
          </w:p>
        </w:tc>
        <w:tc>
          <w:tcPr/>
          <w:p>
            <w:pPr>
              <w:pStyle w:val="Compact"/>
            </w:pPr>
            <w:r>
              <w:t xml:space="preserve">recursos necessários para financiar as operações【5†L1-L9】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NLCG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 diário total × Ciclo financeiro</w:t>
            </w:r>
          </w:p>
        </w:tc>
        <w:tc>
          <w:tcPr/>
          <w:p>
            <w:pPr>
              <w:pStyle w:val="Compact"/>
            </w:pPr>
            <w:r>
              <w:t xml:space="preserve">estimativa rápida da necessidade de caixa【5†L10-L13】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No‑show (%)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No-show ÷ Agendados × 100</w:t>
            </w:r>
          </w:p>
        </w:tc>
        <w:tc>
          <w:tcPr/>
          <w:p>
            <w:pPr>
              <w:pStyle w:val="Compact"/>
            </w:pPr>
            <w:r>
              <w:t xml:space="preserve">percentual de faltas; indica eficácia no agendamento【1†L1-L8】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RevPAH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Receita bruta / (Minutos disponíveis ÷ 60)</w:t>
            </w:r>
          </w:p>
        </w:tc>
        <w:tc>
          <w:tcPr/>
          <w:p>
            <w:pPr>
              <w:pStyle w:val="Compact"/>
            </w:pPr>
            <w:r>
              <w:t xml:space="preserve">receita por hora disponível (produtividade)</w:t>
            </w:r>
          </w:p>
        </w:tc>
      </w:tr>
    </w:tbl>
    <w:p>
      <w:pPr>
        <w:pStyle w:val="BodyText"/>
      </w:pPr>
      <w:r>
        <w:t xml:space="preserve">Essas fórmulas servem de base para cálculos automáticos e relatórios periódicos que o GPT poderá gerar.</w:t>
      </w:r>
    </w:p>
    <w:bookmarkEnd w:id="35"/>
    <w:bookmarkStart w:id="36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Dominar o fluxo de caixa exige conhecimento contábil, compreensão do ciclo financeiro e atenção às normativas de saúde e trabalho. Utilizando este guia como base, o GPT poderá fornecer respostas precisas e contextualizadas, auxiliando gestores de clínicas de estética a tomar decisões informadas e a manter as finanças em equilíbrio.</w:t>
      </w:r>
    </w:p>
    <w:bookmarkEnd w:id="36"/>
    <w:bookmarkEnd w:id="37"/>
    <w:bookmarkEnd w:id="38"/>
    <w:p>
      <w:r>
        <w:pict>
          <v:rect style="width:0;height:1.5pt" o:hralign="center" o:hrstd="t" o:hr="t"/>
        </w:pict>
      </w:r>
    </w:p>
    <w:bookmarkStart w:id="39" w:name="citations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2025-09-11T13:23:14Z</dcterms:created>
  <dcterms:modified xsi:type="dcterms:W3CDTF">2025-09-11T13:23:14Z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