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CENTRO DOCUMENTACION CIENTIFICA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C/ RECTOR LOPEZ ARGUETA, S/N, 18001,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UNIVERSIDAD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Batería Extinción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ICi-541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12739212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EXTERIOR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ICi-541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12739228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EXTERIOR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ICi-541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12739146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EXTERIOR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ICi-541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12739225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EXTERIOR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ICi-541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12739166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EXTERIOR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ICi-541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12739164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EXTERIOR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ICi-541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12739126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EXTERIOR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ICi-541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12739125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EXTERIOR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ICi-541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12739142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EXTERIOR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ICi-541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12739128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EXTERIOR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BOTELLA ACTIVACION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EXTERIOR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06/08/18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